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Default="00F01C8C">
      <w:pPr>
        <w:rPr>
          <w:b/>
        </w:rPr>
      </w:pPr>
      <w:bookmarkStart w:id="0" w:name="_GoBack"/>
      <w:bookmarkEnd w:id="0"/>
      <w:r>
        <w:rPr>
          <w:b/>
        </w:rPr>
        <w:t>Pension Fund Committee</w:t>
      </w:r>
    </w:p>
    <w:p w:rsidR="003E6A45" w:rsidRDefault="003E6A45">
      <w:r>
        <w:t xml:space="preserve">Meeting to be held on </w:t>
      </w:r>
      <w:r w:rsidR="00F01C8C">
        <w:t>28 November 2014</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Default="00F01C8C">
            <w:pPr>
              <w:rPr>
                <w:u w:val="single"/>
              </w:rPr>
            </w:pPr>
            <w:r>
              <w:t>None</w:t>
            </w:r>
          </w:p>
        </w:tc>
      </w:tr>
    </w:tbl>
    <w:p w:rsidR="003E6A45" w:rsidRDefault="003E6A45">
      <w:pPr>
        <w:rPr>
          <w:u w:val="single"/>
        </w:rPr>
      </w:pPr>
    </w:p>
    <w:p w:rsidR="003E6A45" w:rsidRDefault="00F01C8C">
      <w:pPr>
        <w:rPr>
          <w:b/>
        </w:rPr>
      </w:pPr>
      <w:r>
        <w:rPr>
          <w:b/>
        </w:rPr>
        <w:t>Outcome of the Socially Responsible Investment working group</w:t>
      </w:r>
    </w:p>
    <w:p w:rsidR="003E6A45" w:rsidRPr="004930D3" w:rsidRDefault="00F01C8C">
      <w:pPr>
        <w:ind w:left="709" w:hanging="709"/>
      </w:pPr>
      <w:r w:rsidRPr="004930D3">
        <w:t>Appendi</w:t>
      </w:r>
      <w:r w:rsidR="00DF0AD9" w:rsidRPr="004930D3">
        <w:t>ces 'A'</w:t>
      </w:r>
      <w:r w:rsidR="004930D3" w:rsidRPr="004930D3">
        <w:t xml:space="preserve"> and</w:t>
      </w:r>
      <w:r w:rsidR="00DF0AD9" w:rsidRPr="004930D3">
        <w:t xml:space="preserve"> 'B'</w:t>
      </w:r>
      <w:r w:rsidR="004930D3">
        <w:t xml:space="preserve"> refer</w:t>
      </w:r>
    </w:p>
    <w:p w:rsidR="003E6A45" w:rsidRDefault="003E6A45">
      <w:pPr>
        <w:ind w:left="709" w:hanging="709"/>
        <w:rPr>
          <w:b/>
        </w:rPr>
      </w:pPr>
    </w:p>
    <w:p w:rsidR="008A5E88" w:rsidRDefault="008A5E88" w:rsidP="008A5E88"/>
    <w:p w:rsidR="003E6A45" w:rsidRDefault="003E6A45"/>
    <w:p w:rsidR="003E6A45" w:rsidRDefault="003E6A45">
      <w:r>
        <w:t>Contact for further information:</w:t>
      </w:r>
    </w:p>
    <w:p w:rsidR="003E6A45" w:rsidRDefault="00F01C8C">
      <w:r>
        <w:t>Andrew Fox</w:t>
      </w:r>
      <w:r w:rsidR="003E6A45">
        <w:t xml:space="preserve">, </w:t>
      </w:r>
      <w:r>
        <w:t>(01772) 535916</w:t>
      </w:r>
      <w:r w:rsidR="003E6A45">
        <w:t xml:space="preserve">, </w:t>
      </w:r>
      <w:r>
        <w:t>County Treasurer's Directorate</w:t>
      </w:r>
    </w:p>
    <w:p w:rsidR="00772BBA" w:rsidRDefault="00F01C8C">
      <w:r>
        <w:t>Andrew.fox@lancashire.gov.uk</w:t>
      </w:r>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3E6A45" w:rsidRDefault="003E6A45"/>
          <w:p w:rsidR="008647FE" w:rsidRDefault="00D71415" w:rsidP="008647FE">
            <w:r>
              <w:t>At its March 2014 meeting, the Pension Fund Committee requested that a Working Group be e</w:t>
            </w:r>
            <w:r w:rsidR="008647FE">
              <w:t xml:space="preserve">stablished to consider any issues and make recommendations to the Committee on the social and environmental impacts of the Fund's investment strategy and activity. The Working Group </w:t>
            </w:r>
            <w:r>
              <w:t xml:space="preserve">was </w:t>
            </w:r>
            <w:r w:rsidR="008647FE">
              <w:t>asked to report to the Committee in Autumn 2014.</w:t>
            </w:r>
          </w:p>
          <w:p w:rsidR="003E6A45" w:rsidRDefault="003E6A45"/>
          <w:p w:rsidR="00D71415" w:rsidRDefault="00D71415">
            <w:r>
              <w:t>The Working Group met on three occasions and discussed a wide range of issues relating to Socially Responsible Investment/ Environmental, Social, and Governance areas. These focussed on requirements arising from the Committee's fiduciary duty to beneficiaries and recent studies in this area, as well as examining the activities currently undertaken by the Fund in this area, and proposals for further activity.</w:t>
            </w:r>
          </w:p>
          <w:p w:rsidR="004930D3" w:rsidRDefault="004930D3"/>
          <w:p w:rsidR="004930D3" w:rsidRDefault="004930D3">
            <w:r>
              <w:t>An action plan has been developed to progress the recommended actions, which is attached as Appendix B.</w:t>
            </w:r>
          </w:p>
          <w:p w:rsidR="00D71415" w:rsidRDefault="00D71415"/>
          <w:p w:rsidR="003E6A45" w:rsidRDefault="003E6A45">
            <w:pPr>
              <w:pStyle w:val="Heading5"/>
              <w:rPr>
                <w:rFonts w:ascii="Arial" w:hAnsi="Arial"/>
                <w:b w:val="0"/>
                <w:u w:val="none"/>
              </w:rPr>
            </w:pPr>
            <w:r>
              <w:rPr>
                <w:rFonts w:ascii="Arial" w:hAnsi="Arial"/>
                <w:u w:val="none"/>
              </w:rPr>
              <w:t>Recommendation</w:t>
            </w:r>
          </w:p>
          <w:p w:rsidR="003E6A45" w:rsidRDefault="003E6A45"/>
          <w:p w:rsidR="003E6A45" w:rsidRDefault="00D71415">
            <w:r>
              <w:t>The Committee is requested to consider the report and proposals of the Socially Responsible Investment Working Group and to determine future direction in this area.</w:t>
            </w:r>
          </w:p>
          <w:p w:rsidR="003E6A45" w:rsidRDefault="003E6A45"/>
        </w:tc>
      </w:tr>
    </w:tbl>
    <w:p w:rsidR="003E6A45" w:rsidRDefault="003E6A45">
      <w:pPr>
        <w:pStyle w:val="Header"/>
      </w:pPr>
    </w:p>
    <w:p w:rsidR="00772BBA" w:rsidRDefault="00772BBA" w:rsidP="00772BBA">
      <w:pPr>
        <w:rPr>
          <w:b/>
        </w:rPr>
      </w:pPr>
      <w:r>
        <w:rPr>
          <w:b/>
        </w:rPr>
        <w:t xml:space="preserve">Background and Advice </w:t>
      </w:r>
    </w:p>
    <w:p w:rsidR="00772BBA" w:rsidRDefault="00772BBA" w:rsidP="00772BBA">
      <w:pPr>
        <w:rPr>
          <w:b/>
        </w:rPr>
      </w:pPr>
    </w:p>
    <w:p w:rsidR="008647FE" w:rsidRDefault="008647FE" w:rsidP="008647FE">
      <w:pPr>
        <w:autoSpaceDE w:val="0"/>
        <w:autoSpaceDN w:val="0"/>
        <w:adjustRightInd w:val="0"/>
        <w:rPr>
          <w:rFonts w:ascii="TT4B78DEo00" w:hAnsi="TT4B78DEo00" w:cs="TT4B78DEo00"/>
          <w:szCs w:val="24"/>
        </w:rPr>
      </w:pPr>
      <w:r>
        <w:rPr>
          <w:rFonts w:ascii="TT4B78DEo00" w:hAnsi="TT4B78DEo00" w:cs="TT4B78DEo00"/>
          <w:szCs w:val="24"/>
        </w:rPr>
        <w:t>At its meeting on 27 March 2014, the Pension Fund Committee considered a report on proposals to commission advice in relation to various issues relating to the broader social and environmental impacts of the Pension Fund's investment activities.</w:t>
      </w:r>
    </w:p>
    <w:p w:rsidR="008647FE" w:rsidRDefault="008647FE" w:rsidP="008647FE">
      <w:pPr>
        <w:autoSpaceDE w:val="0"/>
        <w:autoSpaceDN w:val="0"/>
        <w:adjustRightInd w:val="0"/>
        <w:rPr>
          <w:rFonts w:ascii="TT4B78DEo00" w:hAnsi="TT4B78DEo00" w:cs="TT4B78DEo00"/>
          <w:szCs w:val="24"/>
        </w:rPr>
      </w:pPr>
    </w:p>
    <w:p w:rsidR="008647FE" w:rsidRDefault="008647FE" w:rsidP="008647FE">
      <w:pPr>
        <w:autoSpaceDE w:val="0"/>
        <w:autoSpaceDN w:val="0"/>
        <w:adjustRightInd w:val="0"/>
        <w:rPr>
          <w:rFonts w:ascii="TT4B78DEo00" w:hAnsi="TT4B78DEo00" w:cs="TT4B78DEo00"/>
          <w:szCs w:val="24"/>
        </w:rPr>
      </w:pPr>
      <w:r>
        <w:rPr>
          <w:rFonts w:ascii="TT4B78DEo00" w:hAnsi="TT4B78DEo00" w:cs="TT4B78DEo00"/>
          <w:szCs w:val="24"/>
        </w:rPr>
        <w:t xml:space="preserve">The proposal was in response to the Notice of Motion carried by Full Council on 12 December 2013. The Notice of Motion asked officers to undertake work aimed at examining potential routes to increase the level of environmental and social </w:t>
      </w:r>
      <w:r>
        <w:rPr>
          <w:rFonts w:ascii="TT4B78DEo00" w:hAnsi="TT4B78DEo00" w:cs="TT4B78DEo00"/>
          <w:szCs w:val="24"/>
        </w:rPr>
        <w:lastRenderedPageBreak/>
        <w:t>responsibility of invested companies and to examine the barriers to a policy of active disinvestment in areas which would appear to be in conflict with the County Council's broader policy agenda.</w:t>
      </w:r>
    </w:p>
    <w:p w:rsidR="008647FE" w:rsidRDefault="008647FE" w:rsidP="008647FE">
      <w:pPr>
        <w:autoSpaceDE w:val="0"/>
        <w:autoSpaceDN w:val="0"/>
        <w:adjustRightInd w:val="0"/>
        <w:rPr>
          <w:rFonts w:ascii="TT4B78DEo00" w:hAnsi="TT4B78DEo00" w:cs="TT4B78DEo00"/>
          <w:szCs w:val="24"/>
        </w:rPr>
      </w:pPr>
      <w:r>
        <w:rPr>
          <w:rFonts w:ascii="TT4B78DEo00" w:hAnsi="TT4B78DEo00" w:cs="TT4B78DEo00"/>
          <w:szCs w:val="24"/>
        </w:rPr>
        <w:t xml:space="preserve">It was suggested that the Committee establish a small task and finish group to review the scope of the project and to undertake the work. The task and finish group would aim to report back in autumn 2014. </w:t>
      </w:r>
    </w:p>
    <w:p w:rsidR="008647FE" w:rsidRDefault="008647FE" w:rsidP="008647FE">
      <w:pPr>
        <w:autoSpaceDE w:val="0"/>
        <w:autoSpaceDN w:val="0"/>
        <w:adjustRightInd w:val="0"/>
        <w:rPr>
          <w:rFonts w:ascii="TT4B78DEo00" w:hAnsi="TT4B78DEo00" w:cs="TT4B78DEo00"/>
          <w:szCs w:val="24"/>
        </w:rPr>
      </w:pPr>
    </w:p>
    <w:p w:rsidR="008647FE" w:rsidRDefault="008647FE" w:rsidP="008647FE">
      <w:pPr>
        <w:autoSpaceDE w:val="0"/>
        <w:autoSpaceDN w:val="0"/>
        <w:adjustRightInd w:val="0"/>
        <w:rPr>
          <w:rFonts w:ascii="TT4B78DEo00" w:hAnsi="TT4B78DEo00" w:cs="TT4B78DEo00"/>
          <w:szCs w:val="24"/>
        </w:rPr>
      </w:pPr>
      <w:r>
        <w:rPr>
          <w:rFonts w:ascii="TT4B78DEo00" w:hAnsi="TT4B78DEo00" w:cs="TT4B78DEo00"/>
          <w:szCs w:val="24"/>
        </w:rPr>
        <w:t>The Socially Responsible Investment working group was subsequently established, and comprised the following members of the Committee:</w:t>
      </w:r>
    </w:p>
    <w:p w:rsidR="008647FE" w:rsidRDefault="008647FE" w:rsidP="008647FE">
      <w:pPr>
        <w:numPr>
          <w:ilvl w:val="0"/>
          <w:numId w:val="2"/>
        </w:numPr>
      </w:pPr>
      <w:r>
        <w:t>County Councillor M Parkinson</w:t>
      </w:r>
      <w:r w:rsidR="00116362">
        <w:t xml:space="preserve"> </w:t>
      </w:r>
      <w:r>
        <w:t>- Chair</w:t>
      </w:r>
      <w:r w:rsidR="00F675EF">
        <w:t>;</w:t>
      </w:r>
    </w:p>
    <w:p w:rsidR="008647FE" w:rsidRDefault="008647FE" w:rsidP="008647FE">
      <w:pPr>
        <w:numPr>
          <w:ilvl w:val="0"/>
          <w:numId w:val="2"/>
        </w:numPr>
      </w:pPr>
      <w:r>
        <w:t>County Councillor M Brindle</w:t>
      </w:r>
      <w:r w:rsidR="00F675EF">
        <w:t>;</w:t>
      </w:r>
    </w:p>
    <w:p w:rsidR="008647FE" w:rsidRDefault="008647FE" w:rsidP="008647FE">
      <w:pPr>
        <w:numPr>
          <w:ilvl w:val="0"/>
          <w:numId w:val="2"/>
        </w:numPr>
      </w:pPr>
      <w:r>
        <w:t>County Councillor G Dowding</w:t>
      </w:r>
      <w:r w:rsidR="00F675EF">
        <w:t>;</w:t>
      </w:r>
    </w:p>
    <w:p w:rsidR="008647FE" w:rsidRDefault="008647FE" w:rsidP="008647FE">
      <w:pPr>
        <w:numPr>
          <w:ilvl w:val="0"/>
          <w:numId w:val="2"/>
        </w:numPr>
      </w:pPr>
      <w:r>
        <w:t>County Councillor D Westley</w:t>
      </w:r>
      <w:r w:rsidR="00F675EF">
        <w:t>;</w:t>
      </w:r>
    </w:p>
    <w:p w:rsidR="008647FE" w:rsidRDefault="008647FE" w:rsidP="008647FE">
      <w:pPr>
        <w:numPr>
          <w:ilvl w:val="0"/>
          <w:numId w:val="2"/>
        </w:numPr>
      </w:pPr>
      <w:r>
        <w:t xml:space="preserve">Councillor R Whittle, Blackburn with </w:t>
      </w:r>
      <w:proofErr w:type="spellStart"/>
      <w:r>
        <w:t>Darwen</w:t>
      </w:r>
      <w:proofErr w:type="spellEnd"/>
      <w:r>
        <w:t xml:space="preserve"> Borough Council</w:t>
      </w:r>
      <w:r w:rsidR="00F675EF">
        <w:t>.</w:t>
      </w:r>
    </w:p>
    <w:p w:rsidR="008647FE" w:rsidRDefault="008647FE" w:rsidP="008647FE">
      <w:pPr>
        <w:autoSpaceDE w:val="0"/>
        <w:autoSpaceDN w:val="0"/>
        <w:adjustRightInd w:val="0"/>
        <w:rPr>
          <w:rFonts w:ascii="TT4B78DEo00" w:hAnsi="TT4B78DEo00" w:cs="TT4B78DEo00"/>
          <w:szCs w:val="24"/>
        </w:rPr>
      </w:pPr>
    </w:p>
    <w:p w:rsidR="008647FE" w:rsidRDefault="008647FE" w:rsidP="008647FE">
      <w:pPr>
        <w:autoSpaceDE w:val="0"/>
        <w:autoSpaceDN w:val="0"/>
        <w:adjustRightInd w:val="0"/>
        <w:rPr>
          <w:rFonts w:ascii="TT4B78DEo00" w:hAnsi="TT4B78DEo00" w:cs="TT4B78DEo00"/>
          <w:szCs w:val="24"/>
        </w:rPr>
      </w:pPr>
      <w:r>
        <w:rPr>
          <w:rFonts w:ascii="TT4B78DEo00" w:hAnsi="TT4B78DEo00" w:cs="TT4B78DEo00"/>
          <w:szCs w:val="24"/>
        </w:rPr>
        <w:t xml:space="preserve">The Group met on 23 July 2014, 9 September 2014, and </w:t>
      </w:r>
      <w:r w:rsidR="00AB4D50">
        <w:rPr>
          <w:rFonts w:ascii="TT4B78DEo00" w:hAnsi="TT4B78DEo00" w:cs="TT4B78DEo00"/>
          <w:szCs w:val="24"/>
        </w:rPr>
        <w:t>20</w:t>
      </w:r>
      <w:r>
        <w:rPr>
          <w:rFonts w:ascii="TT4B78DEo00" w:hAnsi="TT4B78DEo00" w:cs="TT4B78DEo00"/>
          <w:szCs w:val="24"/>
        </w:rPr>
        <w:t xml:space="preserve"> October 2014.</w:t>
      </w:r>
    </w:p>
    <w:p w:rsidR="008647FE" w:rsidRDefault="008647FE" w:rsidP="008647FE">
      <w:pPr>
        <w:autoSpaceDE w:val="0"/>
        <w:autoSpaceDN w:val="0"/>
        <w:adjustRightInd w:val="0"/>
        <w:rPr>
          <w:rFonts w:ascii="TT4B78DEo00" w:hAnsi="TT4B78DEo00" w:cs="TT4B78DEo00"/>
          <w:szCs w:val="24"/>
        </w:rPr>
      </w:pPr>
    </w:p>
    <w:p w:rsidR="008647FE" w:rsidRDefault="008647FE" w:rsidP="008647FE">
      <w:pPr>
        <w:autoSpaceDE w:val="0"/>
        <w:autoSpaceDN w:val="0"/>
        <w:adjustRightInd w:val="0"/>
        <w:rPr>
          <w:rFonts w:ascii="TT4B78DEo00" w:hAnsi="TT4B78DEo00" w:cs="TT4B78DEo00"/>
          <w:szCs w:val="24"/>
        </w:rPr>
      </w:pPr>
    </w:p>
    <w:p w:rsidR="008647FE" w:rsidRPr="00F65F62" w:rsidRDefault="00907100" w:rsidP="008647FE">
      <w:pPr>
        <w:autoSpaceDE w:val="0"/>
        <w:autoSpaceDN w:val="0"/>
        <w:adjustRightInd w:val="0"/>
        <w:rPr>
          <w:rFonts w:ascii="TT4B78DEo00" w:hAnsi="TT4B78DEo00" w:cs="TT4B78DEo00"/>
          <w:b/>
          <w:szCs w:val="24"/>
        </w:rPr>
      </w:pPr>
      <w:r w:rsidRPr="00F65F62">
        <w:rPr>
          <w:rFonts w:ascii="TT4B78DEo00" w:hAnsi="TT4B78DEo00" w:cs="TT4B78DEo00"/>
          <w:b/>
          <w:szCs w:val="24"/>
        </w:rPr>
        <w:t>Summary of matters discussed and related outcomes</w:t>
      </w:r>
    </w:p>
    <w:p w:rsidR="00907100" w:rsidRDefault="00907100" w:rsidP="008647FE">
      <w:pPr>
        <w:autoSpaceDE w:val="0"/>
        <w:autoSpaceDN w:val="0"/>
        <w:adjustRightInd w:val="0"/>
        <w:rPr>
          <w:rFonts w:ascii="TT4B78DEo00" w:hAnsi="TT4B78DEo00" w:cs="TT4B78DEo00"/>
          <w:szCs w:val="24"/>
        </w:rPr>
      </w:pPr>
    </w:p>
    <w:p w:rsidR="00907100" w:rsidRDefault="00907100" w:rsidP="008647FE">
      <w:pPr>
        <w:autoSpaceDE w:val="0"/>
        <w:autoSpaceDN w:val="0"/>
        <w:adjustRightInd w:val="0"/>
        <w:rPr>
          <w:rFonts w:ascii="TT4B78DEo00" w:hAnsi="TT4B78DEo00" w:cs="TT4B78DEo00"/>
          <w:szCs w:val="24"/>
        </w:rPr>
      </w:pPr>
      <w:r>
        <w:rPr>
          <w:rFonts w:ascii="TT4B78DEo00" w:hAnsi="TT4B78DEo00" w:cs="TT4B78DEo00"/>
          <w:szCs w:val="24"/>
        </w:rPr>
        <w:t xml:space="preserve">The following areas formed the </w:t>
      </w:r>
      <w:r w:rsidR="00F65F62">
        <w:rPr>
          <w:rFonts w:ascii="TT4B78DEo00" w:hAnsi="TT4B78DEo00" w:cs="TT4B78DEo00"/>
          <w:szCs w:val="24"/>
        </w:rPr>
        <w:t>main areas of debate:</w:t>
      </w:r>
    </w:p>
    <w:p w:rsidR="00F65F62" w:rsidRDefault="00F65F62" w:rsidP="008647FE">
      <w:pPr>
        <w:autoSpaceDE w:val="0"/>
        <w:autoSpaceDN w:val="0"/>
        <w:adjustRightInd w:val="0"/>
        <w:rPr>
          <w:rFonts w:ascii="TT4B78DEo00" w:hAnsi="TT4B78DEo00" w:cs="TT4B78DEo00"/>
          <w:szCs w:val="24"/>
        </w:rPr>
      </w:pPr>
    </w:p>
    <w:p w:rsidR="008647FE" w:rsidRDefault="00907100" w:rsidP="00907100">
      <w:pPr>
        <w:numPr>
          <w:ilvl w:val="0"/>
          <w:numId w:val="7"/>
        </w:numPr>
        <w:autoSpaceDE w:val="0"/>
        <w:autoSpaceDN w:val="0"/>
        <w:adjustRightInd w:val="0"/>
        <w:rPr>
          <w:rFonts w:ascii="TT4B78DEo00" w:hAnsi="TT4B78DEo00" w:cs="TT4B78DEo00"/>
          <w:szCs w:val="24"/>
        </w:rPr>
      </w:pPr>
      <w:r>
        <w:rPr>
          <w:rFonts w:ascii="TT4B78DEo00" w:hAnsi="TT4B78DEo00" w:cs="TT4B78DEo00"/>
          <w:szCs w:val="24"/>
        </w:rPr>
        <w:t>Fiduciary duty;</w:t>
      </w:r>
    </w:p>
    <w:p w:rsidR="00907100" w:rsidRDefault="00907100" w:rsidP="00907100">
      <w:pPr>
        <w:numPr>
          <w:ilvl w:val="0"/>
          <w:numId w:val="7"/>
        </w:numPr>
        <w:autoSpaceDE w:val="0"/>
        <w:autoSpaceDN w:val="0"/>
        <w:adjustRightInd w:val="0"/>
        <w:rPr>
          <w:rFonts w:ascii="TT4B78DEo00" w:hAnsi="TT4B78DEo00" w:cs="TT4B78DEo00"/>
          <w:szCs w:val="24"/>
        </w:rPr>
      </w:pPr>
      <w:r>
        <w:rPr>
          <w:rFonts w:ascii="TT4B78DEo00" w:hAnsi="TT4B78DEo00" w:cs="TT4B78DEo00"/>
          <w:szCs w:val="24"/>
        </w:rPr>
        <w:t>Existing investment activity;</w:t>
      </w:r>
    </w:p>
    <w:p w:rsidR="00907100" w:rsidRDefault="00907100" w:rsidP="00907100">
      <w:pPr>
        <w:numPr>
          <w:ilvl w:val="0"/>
          <w:numId w:val="7"/>
        </w:numPr>
        <w:autoSpaceDE w:val="0"/>
        <w:autoSpaceDN w:val="0"/>
        <w:adjustRightInd w:val="0"/>
        <w:rPr>
          <w:rFonts w:ascii="TT4B78DEo00" w:hAnsi="TT4B78DEo00" w:cs="TT4B78DEo00"/>
          <w:szCs w:val="24"/>
        </w:rPr>
      </w:pPr>
      <w:r>
        <w:rPr>
          <w:rFonts w:ascii="TT4B78DEo00" w:hAnsi="TT4B78DEo00" w:cs="TT4B78DEo00"/>
          <w:szCs w:val="24"/>
        </w:rPr>
        <w:t>Governance and policy;</w:t>
      </w:r>
    </w:p>
    <w:p w:rsidR="00907100" w:rsidRDefault="00907100" w:rsidP="00907100">
      <w:pPr>
        <w:numPr>
          <w:ilvl w:val="0"/>
          <w:numId w:val="7"/>
        </w:numPr>
        <w:autoSpaceDE w:val="0"/>
        <w:autoSpaceDN w:val="0"/>
        <w:adjustRightInd w:val="0"/>
        <w:rPr>
          <w:rFonts w:ascii="TT4B78DEo00" w:hAnsi="TT4B78DEo00" w:cs="TT4B78DEo00"/>
          <w:szCs w:val="24"/>
        </w:rPr>
      </w:pPr>
      <w:r>
        <w:rPr>
          <w:rFonts w:ascii="TT4B78DEo00" w:hAnsi="TT4B78DEo00" w:cs="TT4B78DEo00"/>
          <w:szCs w:val="24"/>
        </w:rPr>
        <w:t>Analysis and monitoring.</w:t>
      </w:r>
    </w:p>
    <w:p w:rsidR="008647FE" w:rsidRDefault="008647FE" w:rsidP="008647FE">
      <w:pPr>
        <w:autoSpaceDE w:val="0"/>
        <w:autoSpaceDN w:val="0"/>
        <w:adjustRightInd w:val="0"/>
        <w:rPr>
          <w:rFonts w:ascii="TT4B78DEo00" w:hAnsi="TT4B78DEo00" w:cs="TT4B78DEo00"/>
          <w:szCs w:val="24"/>
        </w:rPr>
      </w:pPr>
    </w:p>
    <w:p w:rsidR="008647FE" w:rsidRDefault="008647FE" w:rsidP="008647FE">
      <w:pPr>
        <w:autoSpaceDE w:val="0"/>
        <w:autoSpaceDN w:val="0"/>
        <w:adjustRightInd w:val="0"/>
        <w:rPr>
          <w:rFonts w:ascii="TT4B78DEo00" w:hAnsi="TT4B78DEo00" w:cs="TT4B78DEo00"/>
          <w:szCs w:val="24"/>
        </w:rPr>
      </w:pPr>
    </w:p>
    <w:p w:rsidR="008647FE" w:rsidRPr="00F65F62" w:rsidRDefault="00F65F62" w:rsidP="008647FE">
      <w:pPr>
        <w:autoSpaceDE w:val="0"/>
        <w:autoSpaceDN w:val="0"/>
        <w:adjustRightInd w:val="0"/>
        <w:rPr>
          <w:rFonts w:ascii="TT4B78DEo00" w:hAnsi="TT4B78DEo00" w:cs="TT4B78DEo00"/>
          <w:i/>
          <w:szCs w:val="24"/>
        </w:rPr>
      </w:pPr>
      <w:r w:rsidRPr="00F65F62">
        <w:rPr>
          <w:rFonts w:ascii="TT4B78DEo00" w:hAnsi="TT4B78DEo00" w:cs="TT4B78DEo00"/>
          <w:i/>
          <w:szCs w:val="24"/>
        </w:rPr>
        <w:t>Fiduciary duty</w:t>
      </w:r>
    </w:p>
    <w:p w:rsidR="008647FE" w:rsidRDefault="008647FE" w:rsidP="008647FE">
      <w:pPr>
        <w:autoSpaceDE w:val="0"/>
        <w:autoSpaceDN w:val="0"/>
        <w:adjustRightInd w:val="0"/>
        <w:rPr>
          <w:rFonts w:ascii="TT4B78DEo00" w:hAnsi="TT4B78DEo00" w:cs="TT4B78DEo00"/>
          <w:szCs w:val="24"/>
        </w:rPr>
      </w:pPr>
    </w:p>
    <w:p w:rsidR="00F65F62" w:rsidRDefault="00F65F62" w:rsidP="00F65F62">
      <w:r>
        <w:t>The attention of the Working Group was drawn to</w:t>
      </w:r>
      <w:r w:rsidR="00FA71C6">
        <w:t xml:space="preserve"> a</w:t>
      </w:r>
      <w:r>
        <w:t xml:space="preserve"> Counsel's opinion</w:t>
      </w:r>
      <w:r w:rsidR="00FA71C6">
        <w:t xml:space="preserve"> secured by the LGPS Shadow Advisory Board</w:t>
      </w:r>
      <w:r>
        <w:t xml:space="preserve"> and in particular the view that "The administering authority's power of investment must be exercised for investment purposes, and not for any wider purposes.  Investment decisions must be directed towards achieving a wide variety of suitable investments, and to what is best for the financial position of the fund (balancing risk and return in the normal way)".  The opinion added that "So long as that remains true, the precise choice of investment may be influenced by wider social, ethical or environmental considerations, so long as that does not risk material financial detriment to the fund.  In taking account of any such considerations, the administering authority may not prefer its own interests to those of other scheme employers, and should not seek to impose its particular views where those would not be widely shared by scheme employers and members."</w:t>
      </w:r>
      <w:r w:rsidRPr="00435611">
        <w:t xml:space="preserve"> </w:t>
      </w:r>
    </w:p>
    <w:p w:rsidR="00F65F62" w:rsidRDefault="00F65F62" w:rsidP="00F65F62"/>
    <w:p w:rsidR="00F65F62" w:rsidRDefault="00F65F62" w:rsidP="00F65F62">
      <w:r>
        <w:t>The Working Group noted the Law Commission's view that trustees should take account of financially material risks and that non-financial factors may also be taken into account subject to the following two tests being met:</w:t>
      </w:r>
    </w:p>
    <w:p w:rsidR="00F65F62" w:rsidRDefault="00F65F62" w:rsidP="00F65F62"/>
    <w:p w:rsidR="00F65F62" w:rsidRDefault="00F65F62" w:rsidP="00F65F62">
      <w:pPr>
        <w:numPr>
          <w:ilvl w:val="0"/>
          <w:numId w:val="9"/>
        </w:numPr>
      </w:pPr>
      <w:r>
        <w:t>Trustees should have good reason to think that scheme members would share the concern; and</w:t>
      </w:r>
    </w:p>
    <w:p w:rsidR="00F65F62" w:rsidRDefault="00F65F62" w:rsidP="00F65F62">
      <w:pPr>
        <w:numPr>
          <w:ilvl w:val="0"/>
          <w:numId w:val="9"/>
        </w:numPr>
      </w:pPr>
      <w:r>
        <w:lastRenderedPageBreak/>
        <w:t>The decision should not involve a risk of significant financial detriment</w:t>
      </w:r>
      <w:r w:rsidR="00FA71C6">
        <w:t xml:space="preserve"> </w:t>
      </w:r>
      <w:r>
        <w:t>to the fund.</w:t>
      </w:r>
    </w:p>
    <w:p w:rsidR="00F65F62" w:rsidRDefault="00F65F62" w:rsidP="00F65F62">
      <w:r>
        <w:t xml:space="preserve">The Law Commission also advised that trustees may not impose their own ethical views on their beneficiaries </w:t>
      </w:r>
    </w:p>
    <w:p w:rsidR="00F65F62" w:rsidRDefault="00F65F62" w:rsidP="00F65F62"/>
    <w:p w:rsidR="00F65F62" w:rsidRDefault="00F65F62" w:rsidP="00F65F62">
      <w:r>
        <w:t xml:space="preserve">There was also a discussion on the implications of this advice and the Working Group welcomed the clarification which the Law Commission and Counsel's Opinion had given to the role and duties of trustees when setting an investment strategy.  </w:t>
      </w:r>
    </w:p>
    <w:p w:rsidR="00F65F62" w:rsidRDefault="00F65F62" w:rsidP="00F65F62"/>
    <w:p w:rsidR="00F65F62" w:rsidRPr="00F65F62" w:rsidRDefault="00F65F62" w:rsidP="00F65F62">
      <w:pPr>
        <w:rPr>
          <w:i/>
        </w:rPr>
      </w:pPr>
      <w:r w:rsidRPr="00F65F62">
        <w:rPr>
          <w:i/>
        </w:rPr>
        <w:t>Outcome</w:t>
      </w:r>
      <w:r w:rsidR="00FB20CA">
        <w:rPr>
          <w:i/>
        </w:rPr>
        <w:t>s</w:t>
      </w:r>
      <w:r w:rsidRPr="00F65F62">
        <w:rPr>
          <w:i/>
        </w:rPr>
        <w:t>:</w:t>
      </w:r>
    </w:p>
    <w:p w:rsidR="00F65F62" w:rsidRDefault="00F65F62" w:rsidP="00F65F62"/>
    <w:p w:rsidR="00CA1991" w:rsidRDefault="00CA1991" w:rsidP="00402C4D">
      <w:pPr>
        <w:numPr>
          <w:ilvl w:val="0"/>
          <w:numId w:val="10"/>
        </w:numPr>
        <w:spacing w:after="120"/>
        <w:ind w:left="924" w:hanging="357"/>
        <w:rPr>
          <w:b/>
        </w:rPr>
      </w:pPr>
      <w:r w:rsidRPr="00CA1991">
        <w:rPr>
          <w:b/>
        </w:rPr>
        <w:t xml:space="preserve">Having considered all the information presented to its meetings, the Working Group agreed that it would wish to recommend the Pension Fund Committee to consider a more active stance in relation to </w:t>
      </w:r>
      <w:r w:rsidR="009A3E0D">
        <w:rPr>
          <w:b/>
        </w:rPr>
        <w:t xml:space="preserve">responsible investment </w:t>
      </w:r>
      <w:r w:rsidRPr="00CA1991">
        <w:rPr>
          <w:b/>
        </w:rPr>
        <w:t xml:space="preserve">issues than had previously been the case where that did not pose the risk of financial detriment to the Fund.  </w:t>
      </w:r>
      <w:r w:rsidR="00F65F62" w:rsidRPr="00CA1991">
        <w:rPr>
          <w:b/>
        </w:rPr>
        <w:t xml:space="preserve">Members acknowledged that the primary aim of an investment strategy was to secure the best possible return and that the administering authority and trustees should not impose their own ethical views on </w:t>
      </w:r>
      <w:r w:rsidR="00FA71C6" w:rsidRPr="00CA1991">
        <w:rPr>
          <w:b/>
        </w:rPr>
        <w:t xml:space="preserve">issues such as </w:t>
      </w:r>
      <w:r w:rsidR="00F65F62" w:rsidRPr="00CA1991">
        <w:rPr>
          <w:b/>
        </w:rPr>
        <w:t xml:space="preserve">tobacco, energy, food etc., on scheme beneficiaries.  </w:t>
      </w:r>
    </w:p>
    <w:p w:rsidR="00B61452" w:rsidRDefault="00CA1991" w:rsidP="00402C4D">
      <w:pPr>
        <w:numPr>
          <w:ilvl w:val="0"/>
          <w:numId w:val="10"/>
        </w:numPr>
        <w:spacing w:after="120"/>
        <w:ind w:left="924" w:hanging="357"/>
        <w:rPr>
          <w:b/>
        </w:rPr>
      </w:pPr>
      <w:r>
        <w:rPr>
          <w:b/>
        </w:rPr>
        <w:t>C</w:t>
      </w:r>
      <w:r w:rsidRPr="00CA1991">
        <w:rPr>
          <w:b/>
        </w:rPr>
        <w:t>oncerns were expressed about the Fund's ability to canvass and assess the views of scheme employers and members on specific social, ethical and environmental considerations and investments.</w:t>
      </w:r>
      <w:r>
        <w:rPr>
          <w:b/>
        </w:rPr>
        <w:t xml:space="preserve"> </w:t>
      </w:r>
      <w:r w:rsidR="00A86EB0">
        <w:rPr>
          <w:b/>
        </w:rPr>
        <w:t>B</w:t>
      </w:r>
      <w:r>
        <w:rPr>
          <w:b/>
        </w:rPr>
        <w:t>efore taking any specific steps that could potentially lead to the investment in or disinvestment from particular sectors, Members acknowledged that it was important to canvass and understand the views of scheme stakeholders</w:t>
      </w:r>
      <w:r w:rsidR="00A86EB0">
        <w:rPr>
          <w:b/>
        </w:rPr>
        <w:t>, and agreed that different ways of achieving this needed to be explored.</w:t>
      </w:r>
    </w:p>
    <w:p w:rsidR="00F65F62" w:rsidRPr="00CA1991" w:rsidRDefault="00B61452" w:rsidP="00402C4D">
      <w:pPr>
        <w:numPr>
          <w:ilvl w:val="0"/>
          <w:numId w:val="10"/>
        </w:numPr>
        <w:spacing w:after="120"/>
        <w:ind w:left="924" w:hanging="357"/>
        <w:rPr>
          <w:b/>
        </w:rPr>
      </w:pPr>
      <w:r w:rsidRPr="00B61452">
        <w:rPr>
          <w:b/>
        </w:rPr>
        <w:t>The Working Group felt that it now had a much greater understanding of SRI and ESG issues and in particular the legal framework around fiduciary duties and the issue of disinvestment.  Members again acknowledged that the primary aim of the Fund's investment strategy was to secure the best possible return and it was agreed that disinvestment was not an option which should be pursued by the Fund</w:t>
      </w:r>
      <w:r>
        <w:rPr>
          <w:b/>
        </w:rPr>
        <w:t xml:space="preserve"> at this </w:t>
      </w:r>
      <w:r w:rsidR="00DF21E4">
        <w:rPr>
          <w:b/>
        </w:rPr>
        <w:t>moment</w:t>
      </w:r>
      <w:r w:rsidRPr="00B61452">
        <w:rPr>
          <w:b/>
        </w:rPr>
        <w:t>.</w:t>
      </w:r>
      <w:r w:rsidR="00F65F62" w:rsidRPr="00CA1991">
        <w:rPr>
          <w:b/>
        </w:rPr>
        <w:t xml:space="preserve"> </w:t>
      </w:r>
    </w:p>
    <w:p w:rsidR="008647FE" w:rsidRDefault="008647FE" w:rsidP="008647FE">
      <w:pPr>
        <w:autoSpaceDE w:val="0"/>
        <w:autoSpaceDN w:val="0"/>
        <w:adjustRightInd w:val="0"/>
        <w:rPr>
          <w:rFonts w:ascii="TT4B78DEo00" w:hAnsi="TT4B78DEo00" w:cs="TT4B78DEo00"/>
          <w:szCs w:val="24"/>
        </w:rPr>
      </w:pPr>
    </w:p>
    <w:p w:rsidR="00FB0CB8" w:rsidRDefault="00FB0CB8" w:rsidP="008647FE">
      <w:pPr>
        <w:autoSpaceDE w:val="0"/>
        <w:autoSpaceDN w:val="0"/>
        <w:adjustRightInd w:val="0"/>
        <w:rPr>
          <w:rFonts w:ascii="TT4B78DEo00" w:hAnsi="TT4B78DEo00" w:cs="TT4B78DEo00"/>
          <w:szCs w:val="24"/>
        </w:rPr>
      </w:pPr>
      <w:r>
        <w:rPr>
          <w:rFonts w:ascii="TT4B78DEo00" w:hAnsi="TT4B78DEo00" w:cs="TT4B78DEo00"/>
          <w:szCs w:val="24"/>
        </w:rPr>
        <w:t xml:space="preserve">This enhanced understanding has </w:t>
      </w:r>
      <w:r w:rsidR="00615BC4">
        <w:rPr>
          <w:rFonts w:ascii="TT4B78DEo00" w:hAnsi="TT4B78DEo00" w:cs="TT4B78DEo00"/>
          <w:szCs w:val="24"/>
        </w:rPr>
        <w:t>led to a recognition of definition</w:t>
      </w:r>
      <w:r w:rsidR="00117AED">
        <w:rPr>
          <w:rFonts w:ascii="TT4B78DEo00" w:hAnsi="TT4B78DEo00" w:cs="TT4B78DEo00"/>
          <w:szCs w:val="24"/>
        </w:rPr>
        <w:t>al</w:t>
      </w:r>
      <w:r w:rsidR="00615BC4">
        <w:rPr>
          <w:rFonts w:ascii="TT4B78DEo00" w:hAnsi="TT4B78DEo00" w:cs="TT4B78DEo00"/>
          <w:szCs w:val="24"/>
        </w:rPr>
        <w:t xml:space="preserve"> differences between 'responsible investment (RI)' and 'socially responsible investment'. Outcome 3 above demonstrates that the Fund is </w:t>
      </w:r>
      <w:r w:rsidR="004D428F">
        <w:rPr>
          <w:rFonts w:ascii="TT4B78DEo00" w:hAnsi="TT4B78DEo00" w:cs="TT4B78DEo00"/>
          <w:szCs w:val="24"/>
        </w:rPr>
        <w:t xml:space="preserve">seeking to </w:t>
      </w:r>
      <w:r w:rsidR="00615BC4">
        <w:rPr>
          <w:rFonts w:ascii="TT4B78DEo00" w:hAnsi="TT4B78DEo00" w:cs="TT4B78DEo00"/>
          <w:szCs w:val="24"/>
        </w:rPr>
        <w:t>pursu</w:t>
      </w:r>
      <w:r w:rsidR="004D428F">
        <w:rPr>
          <w:rFonts w:ascii="TT4B78DEo00" w:hAnsi="TT4B78DEo00" w:cs="TT4B78DEo00"/>
          <w:szCs w:val="24"/>
        </w:rPr>
        <w:t xml:space="preserve">e </w:t>
      </w:r>
      <w:r w:rsidR="00615BC4">
        <w:rPr>
          <w:rFonts w:ascii="TT4B78DEo00" w:hAnsi="TT4B78DEo00" w:cs="TT4B78DEo00"/>
          <w:szCs w:val="24"/>
        </w:rPr>
        <w:t>an RI approach rather than a SRI approach, as defined by the National Association of Pension Funds (NAPF):</w:t>
      </w:r>
    </w:p>
    <w:p w:rsidR="00615BC4" w:rsidRDefault="00615BC4" w:rsidP="008647FE">
      <w:pPr>
        <w:autoSpaceDE w:val="0"/>
        <w:autoSpaceDN w:val="0"/>
        <w:adjustRightInd w:val="0"/>
        <w:rPr>
          <w:rFonts w:ascii="TT4B78DEo00" w:hAnsi="TT4B78DEo00" w:cs="TT4B78DEo00"/>
          <w:szCs w:val="24"/>
        </w:rPr>
      </w:pPr>
    </w:p>
    <w:p w:rsidR="00615BC4" w:rsidRPr="004D428F" w:rsidRDefault="00615BC4" w:rsidP="004D428F">
      <w:pPr>
        <w:autoSpaceDE w:val="0"/>
        <w:autoSpaceDN w:val="0"/>
        <w:adjustRightInd w:val="0"/>
        <w:ind w:left="720"/>
        <w:rPr>
          <w:rFonts w:ascii="TT4B78DEo00" w:hAnsi="TT4B78DEo00" w:cs="TT4B78DEo00"/>
          <w:i/>
          <w:szCs w:val="24"/>
        </w:rPr>
      </w:pPr>
      <w:r w:rsidRPr="004D428F">
        <w:rPr>
          <w:rFonts w:ascii="TT4B78DEo00" w:hAnsi="TT4B78DEo00" w:cs="TT4B78DEo00"/>
          <w:i/>
          <w:szCs w:val="24"/>
        </w:rPr>
        <w:t xml:space="preserve">Responsible Investment is an investment approach in which investors recognise the importance of the long-term health and stability of the market as a whole; seeking to incorporate material extra-financial factors alongside other financial performance and strategic assessments </w:t>
      </w:r>
      <w:r w:rsidR="004D428F" w:rsidRPr="004D428F">
        <w:rPr>
          <w:rFonts w:ascii="TT4B78DEo00" w:hAnsi="TT4B78DEo00" w:cs="TT4B78DEo00"/>
          <w:i/>
          <w:szCs w:val="24"/>
        </w:rPr>
        <w:t xml:space="preserve">within investment decisions; and utilise ownership rights and responsibilities attached to assets to protect </w:t>
      </w:r>
      <w:r w:rsidR="004D428F" w:rsidRPr="004D428F">
        <w:rPr>
          <w:rFonts w:ascii="TT4B78DEo00" w:hAnsi="TT4B78DEo00" w:cs="TT4B78DEo00"/>
          <w:i/>
          <w:szCs w:val="24"/>
        </w:rPr>
        <w:lastRenderedPageBreak/>
        <w:t>and enhance shareholder value over the long term – primarily through voting and engagement.</w:t>
      </w:r>
    </w:p>
    <w:p w:rsidR="00FB0CB8" w:rsidRDefault="00FB0CB8" w:rsidP="008647FE">
      <w:pPr>
        <w:autoSpaceDE w:val="0"/>
        <w:autoSpaceDN w:val="0"/>
        <w:adjustRightInd w:val="0"/>
        <w:rPr>
          <w:rFonts w:ascii="TT4B78DEo00" w:hAnsi="TT4B78DEo00" w:cs="TT4B78DEo00"/>
          <w:szCs w:val="24"/>
        </w:rPr>
      </w:pPr>
    </w:p>
    <w:p w:rsidR="004D428F" w:rsidRDefault="004D428F" w:rsidP="008647FE">
      <w:pPr>
        <w:autoSpaceDE w:val="0"/>
        <w:autoSpaceDN w:val="0"/>
        <w:adjustRightInd w:val="0"/>
        <w:rPr>
          <w:rFonts w:ascii="TT4B78DEo00" w:hAnsi="TT4B78DEo00" w:cs="TT4B78DEo00"/>
          <w:szCs w:val="24"/>
        </w:rPr>
      </w:pPr>
      <w:r>
        <w:rPr>
          <w:rFonts w:ascii="TT4B78DEo00" w:hAnsi="TT4B78DEo00" w:cs="TT4B78DEo00"/>
          <w:szCs w:val="24"/>
        </w:rPr>
        <w:t>SRI is defined as an investment approach that combines investment returns with moral or ethical roles that are not generally driven by financial considerations. It involves the exclusion of so-called 'sin stocks' regardless of their financial performance, but also seeking to achieve social and environmental objectives. The outcomes above demonstrate the Working Group's view that such an approach is not desirable or appropriate for the Fund.</w:t>
      </w:r>
    </w:p>
    <w:p w:rsidR="004D428F" w:rsidRDefault="004D428F" w:rsidP="008647FE">
      <w:pPr>
        <w:autoSpaceDE w:val="0"/>
        <w:autoSpaceDN w:val="0"/>
        <w:adjustRightInd w:val="0"/>
        <w:rPr>
          <w:rFonts w:ascii="TT4B78DEo00" w:hAnsi="TT4B78DEo00" w:cs="TT4B78DEo00"/>
          <w:szCs w:val="24"/>
        </w:rPr>
      </w:pPr>
    </w:p>
    <w:p w:rsidR="008647FE" w:rsidRDefault="004D428F" w:rsidP="008647FE">
      <w:pPr>
        <w:autoSpaceDE w:val="0"/>
        <w:autoSpaceDN w:val="0"/>
        <w:adjustRightInd w:val="0"/>
        <w:rPr>
          <w:rFonts w:ascii="TT4B78DEo00" w:hAnsi="TT4B78DEo00" w:cs="TT4B78DEo00"/>
          <w:szCs w:val="24"/>
        </w:rPr>
      </w:pPr>
      <w:r>
        <w:rPr>
          <w:rFonts w:ascii="TT4B78DEo00" w:hAnsi="TT4B78DEo00" w:cs="TT4B78DEo00"/>
          <w:szCs w:val="24"/>
        </w:rPr>
        <w:t>Accordingly, the term 'responsible investment' (rather than socially responsible investment) will subsequently be used in this report to refer to the investment approach.</w:t>
      </w:r>
    </w:p>
    <w:p w:rsidR="004D428F" w:rsidRDefault="004D428F" w:rsidP="008647FE">
      <w:pPr>
        <w:autoSpaceDE w:val="0"/>
        <w:autoSpaceDN w:val="0"/>
        <w:adjustRightInd w:val="0"/>
        <w:rPr>
          <w:rFonts w:ascii="TT4B78DEo00" w:hAnsi="TT4B78DEo00" w:cs="TT4B78DEo00"/>
          <w:szCs w:val="24"/>
        </w:rPr>
      </w:pPr>
    </w:p>
    <w:p w:rsidR="004D428F" w:rsidRDefault="004D428F" w:rsidP="008647FE">
      <w:pPr>
        <w:autoSpaceDE w:val="0"/>
        <w:autoSpaceDN w:val="0"/>
        <w:adjustRightInd w:val="0"/>
        <w:rPr>
          <w:rFonts w:ascii="TT4B78DEo00" w:hAnsi="TT4B78DEo00" w:cs="TT4B78DEo00"/>
          <w:szCs w:val="24"/>
        </w:rPr>
      </w:pPr>
    </w:p>
    <w:p w:rsidR="004D428F" w:rsidRDefault="004D428F" w:rsidP="008647FE">
      <w:pPr>
        <w:autoSpaceDE w:val="0"/>
        <w:autoSpaceDN w:val="0"/>
        <w:adjustRightInd w:val="0"/>
        <w:rPr>
          <w:rFonts w:ascii="TT4B78DEo00" w:hAnsi="TT4B78DEo00" w:cs="TT4B78DEo00"/>
          <w:szCs w:val="24"/>
        </w:rPr>
      </w:pPr>
    </w:p>
    <w:p w:rsidR="004D428F" w:rsidRDefault="004D428F" w:rsidP="008647FE">
      <w:pPr>
        <w:autoSpaceDE w:val="0"/>
        <w:autoSpaceDN w:val="0"/>
        <w:adjustRightInd w:val="0"/>
        <w:rPr>
          <w:rFonts w:ascii="TT4B78DEo00" w:hAnsi="TT4B78DEo00" w:cs="TT4B78DEo00"/>
          <w:szCs w:val="24"/>
        </w:rPr>
      </w:pPr>
    </w:p>
    <w:p w:rsidR="008647FE" w:rsidRPr="00F65F62" w:rsidRDefault="00F65F62" w:rsidP="008647FE">
      <w:pPr>
        <w:autoSpaceDE w:val="0"/>
        <w:autoSpaceDN w:val="0"/>
        <w:adjustRightInd w:val="0"/>
        <w:rPr>
          <w:rFonts w:ascii="TT4B78DEo00" w:hAnsi="TT4B78DEo00" w:cs="TT4B78DEo00"/>
          <w:i/>
          <w:szCs w:val="24"/>
        </w:rPr>
      </w:pPr>
      <w:r w:rsidRPr="00F65F62">
        <w:rPr>
          <w:rFonts w:ascii="TT4B78DEo00" w:hAnsi="TT4B78DEo00" w:cs="TT4B78DEo00"/>
          <w:i/>
          <w:szCs w:val="24"/>
        </w:rPr>
        <w:t>Existing investment activity</w:t>
      </w:r>
    </w:p>
    <w:p w:rsidR="008647FE" w:rsidRDefault="008647FE" w:rsidP="008647FE">
      <w:pPr>
        <w:autoSpaceDE w:val="0"/>
        <w:autoSpaceDN w:val="0"/>
        <w:adjustRightInd w:val="0"/>
        <w:rPr>
          <w:rFonts w:ascii="TT4B78DEo00" w:hAnsi="TT4B78DEo00" w:cs="TT4B78DEo00"/>
          <w:szCs w:val="24"/>
        </w:rPr>
      </w:pPr>
    </w:p>
    <w:p w:rsidR="00F65F62" w:rsidRDefault="00FA71C6" w:rsidP="00F65F62">
      <w:r>
        <w:t xml:space="preserve">The Working Group reviewed the Fund's current investments in the context of </w:t>
      </w:r>
      <w:r w:rsidR="004D428F">
        <w:t>ESG considerations</w:t>
      </w:r>
      <w:r>
        <w:t xml:space="preserve">. While there were a significant range, particularly of clean energy investments of various types officer emphasised the fact that </w:t>
      </w:r>
      <w:r w:rsidR="00F65F62">
        <w:t>the</w:t>
      </w:r>
      <w:r w:rsidR="00CF4B31">
        <w:t>se</w:t>
      </w:r>
      <w:r w:rsidR="00F65F62">
        <w:t xml:space="preserve"> investment</w:t>
      </w:r>
      <w:r w:rsidR="00AB4D50">
        <w:t>s</w:t>
      </w:r>
      <w:r w:rsidR="00F65F62">
        <w:t xml:space="preserve"> </w:t>
      </w:r>
      <w:r w:rsidR="00CF4B31">
        <w:t>had been identified</w:t>
      </w:r>
      <w:r w:rsidR="00F65F62">
        <w:t xml:space="preserve"> based on the Fund's desire to have a diverse investment portfolio but more importantly the anticipated </w:t>
      </w:r>
      <w:r w:rsidR="00CF4B31">
        <w:t xml:space="preserve">long term </w:t>
      </w:r>
      <w:r w:rsidR="00F65F62">
        <w:t>financial return. Social, ethical and environmental considerations had not played any part in th</w:t>
      </w:r>
      <w:r w:rsidR="00CF4B31">
        <w:t>e decision making</w:t>
      </w:r>
      <w:r w:rsidR="00F65F62">
        <w:t xml:space="preserve"> and the Working Group noted that this reflected how the primary consideration of securing the best possible return was linked to investments which could be considered "ethical" or "socially responsible".  </w:t>
      </w:r>
    </w:p>
    <w:p w:rsidR="00ED0CA6" w:rsidRDefault="00ED0CA6" w:rsidP="00F65F62">
      <w:pPr>
        <w:rPr>
          <w:i/>
        </w:rPr>
      </w:pPr>
    </w:p>
    <w:p w:rsidR="00FF6B80" w:rsidRDefault="00FF6B80" w:rsidP="00F65F62">
      <w:pPr>
        <w:rPr>
          <w:i/>
        </w:rPr>
      </w:pPr>
    </w:p>
    <w:p w:rsidR="00FF6B80" w:rsidRDefault="00FF6B80" w:rsidP="00F65F62">
      <w:pPr>
        <w:rPr>
          <w:i/>
        </w:rPr>
      </w:pPr>
    </w:p>
    <w:p w:rsidR="00F65F62" w:rsidRPr="00F65F62" w:rsidRDefault="00F65F62" w:rsidP="00F65F62">
      <w:pPr>
        <w:rPr>
          <w:i/>
        </w:rPr>
      </w:pPr>
      <w:r w:rsidRPr="00F65F62">
        <w:rPr>
          <w:i/>
        </w:rPr>
        <w:t>Outcome:</w:t>
      </w:r>
    </w:p>
    <w:p w:rsidR="008647FE" w:rsidRDefault="008647FE" w:rsidP="008647FE">
      <w:pPr>
        <w:autoSpaceDE w:val="0"/>
        <w:autoSpaceDN w:val="0"/>
        <w:adjustRightInd w:val="0"/>
        <w:rPr>
          <w:rFonts w:ascii="TT4B78DEo00" w:hAnsi="TT4B78DEo00" w:cs="TT4B78DEo00"/>
          <w:szCs w:val="24"/>
        </w:rPr>
      </w:pPr>
    </w:p>
    <w:p w:rsidR="00F65F62" w:rsidRPr="00FB20CA" w:rsidRDefault="00F65F62" w:rsidP="00F65F62">
      <w:pPr>
        <w:numPr>
          <w:ilvl w:val="0"/>
          <w:numId w:val="10"/>
        </w:numPr>
        <w:rPr>
          <w:b/>
        </w:rPr>
      </w:pPr>
      <w:r w:rsidRPr="00FB20CA">
        <w:rPr>
          <w:b/>
        </w:rPr>
        <w:t xml:space="preserve">The Working Group encouraged the taking of specific steps or actions to reduce carbon production within the Fund's portfolio - for example, within the property portfolio. In addition, the Group </w:t>
      </w:r>
      <w:r w:rsidR="00FB20CA" w:rsidRPr="00FB20CA">
        <w:rPr>
          <w:b/>
        </w:rPr>
        <w:t>supported t</w:t>
      </w:r>
      <w:r w:rsidRPr="00FB20CA">
        <w:rPr>
          <w:b/>
        </w:rPr>
        <w:t>he continued identification of good investment opportunities and the making of investments that provide appropriate returns and which may possess certain 'green' or clean energy characteristics</w:t>
      </w:r>
      <w:r w:rsidR="00FB20CA" w:rsidRPr="00FB20CA">
        <w:rPr>
          <w:b/>
        </w:rPr>
        <w:t>.</w:t>
      </w:r>
    </w:p>
    <w:p w:rsidR="008647FE" w:rsidRDefault="008647FE" w:rsidP="008647FE">
      <w:pPr>
        <w:autoSpaceDE w:val="0"/>
        <w:autoSpaceDN w:val="0"/>
        <w:adjustRightInd w:val="0"/>
        <w:rPr>
          <w:rFonts w:ascii="TT4B78DEo00" w:hAnsi="TT4B78DEo00" w:cs="TT4B78DEo00"/>
          <w:szCs w:val="24"/>
        </w:rPr>
      </w:pPr>
    </w:p>
    <w:p w:rsidR="008647FE" w:rsidRDefault="008647FE" w:rsidP="008647FE">
      <w:pPr>
        <w:autoSpaceDE w:val="0"/>
        <w:autoSpaceDN w:val="0"/>
        <w:adjustRightInd w:val="0"/>
        <w:rPr>
          <w:rFonts w:ascii="TT4B78DEo00" w:hAnsi="TT4B78DEo00" w:cs="TT4B78DEo00"/>
          <w:szCs w:val="24"/>
        </w:rPr>
      </w:pPr>
    </w:p>
    <w:p w:rsidR="008647FE" w:rsidRPr="00FB20CA" w:rsidRDefault="002A7054" w:rsidP="008647FE">
      <w:pPr>
        <w:autoSpaceDE w:val="0"/>
        <w:autoSpaceDN w:val="0"/>
        <w:adjustRightInd w:val="0"/>
        <w:rPr>
          <w:rFonts w:ascii="TT4B78DEo00" w:hAnsi="TT4B78DEo00" w:cs="TT4B78DEo00"/>
          <w:i/>
          <w:szCs w:val="24"/>
        </w:rPr>
      </w:pPr>
      <w:r>
        <w:rPr>
          <w:rFonts w:ascii="TT4B78DEo00" w:hAnsi="TT4B78DEo00" w:cs="TT4B78DEo00"/>
          <w:i/>
          <w:szCs w:val="24"/>
        </w:rPr>
        <w:t>Governance and policy</w:t>
      </w:r>
    </w:p>
    <w:p w:rsidR="008647FE" w:rsidRDefault="008647FE" w:rsidP="008647FE">
      <w:pPr>
        <w:autoSpaceDE w:val="0"/>
        <w:autoSpaceDN w:val="0"/>
        <w:adjustRightInd w:val="0"/>
        <w:rPr>
          <w:rFonts w:ascii="TT4B78DEo00" w:hAnsi="TT4B78DEo00" w:cs="TT4B78DEo00"/>
          <w:szCs w:val="24"/>
        </w:rPr>
      </w:pPr>
    </w:p>
    <w:p w:rsidR="00FB20CA" w:rsidRDefault="00FB20CA" w:rsidP="00FB20CA">
      <w:r>
        <w:t xml:space="preserve">There was a discussion around the Environment Agency's move towards environmental investments which had achieved a return above benchmark. It was suggested that the Fund should look at best practice models of RI including the EA's investment strategy.  The EA and several other Funds had also signed up to the UN-backed Principles for Responsible Investment and it was felt that the Lancashire County Pension Fund </w:t>
      </w:r>
      <w:r w:rsidR="00165CD4">
        <w:t xml:space="preserve">should also work towards the adoption of </w:t>
      </w:r>
      <w:r>
        <w:t>the UN's principles</w:t>
      </w:r>
      <w:r w:rsidR="00165CD4">
        <w:t>:</w:t>
      </w:r>
    </w:p>
    <w:p w:rsidR="00165CD4" w:rsidRPr="00165CD4" w:rsidRDefault="00165CD4" w:rsidP="00165CD4">
      <w:pPr>
        <w:spacing w:before="100" w:beforeAutospacing="1" w:after="100" w:afterAutospacing="1"/>
        <w:ind w:left="720"/>
        <w:outlineLvl w:val="2"/>
        <w:rPr>
          <w:i/>
        </w:rPr>
      </w:pPr>
      <w:r w:rsidRPr="00165CD4">
        <w:rPr>
          <w:i/>
        </w:rPr>
        <w:lastRenderedPageBreak/>
        <w:t>Principle 1: We will incorporate ESG issues into investment analysis and decision-making processes.</w:t>
      </w:r>
    </w:p>
    <w:p w:rsidR="00165CD4" w:rsidRPr="00165CD4" w:rsidRDefault="00165CD4" w:rsidP="00165CD4">
      <w:pPr>
        <w:spacing w:before="100" w:beforeAutospacing="1" w:after="100" w:afterAutospacing="1"/>
        <w:ind w:left="720"/>
        <w:outlineLvl w:val="2"/>
        <w:rPr>
          <w:i/>
        </w:rPr>
      </w:pPr>
      <w:r w:rsidRPr="00165CD4">
        <w:rPr>
          <w:i/>
        </w:rPr>
        <w:t>Principle 2: We will be active owners and incorporate ESG issues into our ownership policies and practices.</w:t>
      </w:r>
    </w:p>
    <w:p w:rsidR="00165CD4" w:rsidRPr="00165CD4" w:rsidRDefault="00165CD4" w:rsidP="00165CD4">
      <w:pPr>
        <w:spacing w:before="100" w:beforeAutospacing="1" w:after="100" w:afterAutospacing="1"/>
        <w:ind w:left="720"/>
        <w:outlineLvl w:val="2"/>
        <w:rPr>
          <w:i/>
        </w:rPr>
      </w:pPr>
      <w:r w:rsidRPr="00165CD4">
        <w:rPr>
          <w:i/>
        </w:rPr>
        <w:t>Principle 3: We will seek appropriate disclosure on ESG issues by the entities in which we invest.</w:t>
      </w:r>
    </w:p>
    <w:p w:rsidR="00165CD4" w:rsidRPr="00165CD4" w:rsidRDefault="00165CD4" w:rsidP="00165CD4">
      <w:pPr>
        <w:spacing w:before="100" w:beforeAutospacing="1" w:after="100" w:afterAutospacing="1"/>
        <w:ind w:left="720"/>
        <w:outlineLvl w:val="2"/>
        <w:rPr>
          <w:i/>
        </w:rPr>
      </w:pPr>
      <w:r w:rsidRPr="00165CD4">
        <w:rPr>
          <w:i/>
        </w:rPr>
        <w:t>Principle 4: We will promote acceptance and implementation of the Principles within the investment industry.</w:t>
      </w:r>
    </w:p>
    <w:p w:rsidR="00165CD4" w:rsidRPr="00165CD4" w:rsidRDefault="00165CD4" w:rsidP="00165CD4">
      <w:pPr>
        <w:spacing w:before="100" w:beforeAutospacing="1" w:after="100" w:afterAutospacing="1"/>
        <w:ind w:left="720"/>
        <w:outlineLvl w:val="2"/>
        <w:rPr>
          <w:i/>
        </w:rPr>
      </w:pPr>
      <w:r w:rsidRPr="00165CD4">
        <w:rPr>
          <w:i/>
        </w:rPr>
        <w:t>Principle 5: We will work together to enhance our effectiveness in implementing the Principles.</w:t>
      </w:r>
    </w:p>
    <w:p w:rsidR="00165CD4" w:rsidRPr="00165CD4" w:rsidRDefault="00165CD4" w:rsidP="00165CD4">
      <w:pPr>
        <w:spacing w:before="100" w:beforeAutospacing="1" w:after="100" w:afterAutospacing="1"/>
        <w:ind w:left="720"/>
        <w:outlineLvl w:val="2"/>
        <w:rPr>
          <w:i/>
        </w:rPr>
      </w:pPr>
      <w:r w:rsidRPr="00165CD4">
        <w:rPr>
          <w:i/>
        </w:rPr>
        <w:t>Principle 6: We will each report on our activities and progress towards implementing the Principles.</w:t>
      </w:r>
    </w:p>
    <w:p w:rsidR="00165CD4" w:rsidRDefault="00165CD4" w:rsidP="00FB20CA"/>
    <w:p w:rsidR="009646AB" w:rsidRDefault="009646AB" w:rsidP="00FB20CA">
      <w:r>
        <w:t>Details were discussed of the approach undertaken by the Environment Agency, which was arguably the most advanced LGPS fund in terms of developing a</w:t>
      </w:r>
      <w:r w:rsidR="002055B4">
        <w:t xml:space="preserve"> responsible investing </w:t>
      </w:r>
      <w:r>
        <w:t>approach.  In addition, the responses of 19 members of the CIPFA Pensions Network to questions around ethical investment policies were circulated and discussed.</w:t>
      </w:r>
    </w:p>
    <w:p w:rsidR="009646AB" w:rsidRDefault="009646AB" w:rsidP="00FB20CA"/>
    <w:p w:rsidR="00B656CD" w:rsidRDefault="00B656CD" w:rsidP="00FB20CA">
      <w:r>
        <w:t>In order to promote accountability through transparency, the Group felt that more could be done to set out the Fund's beliefs in this area and by doing so sending an explicit message as to the seriousness of its intent.</w:t>
      </w:r>
      <w:r w:rsidR="00CF4B31">
        <w:t xml:space="preserve"> In this context adopting an external standard such as the UN Principles would provide a basis for measuring progress.</w:t>
      </w:r>
    </w:p>
    <w:p w:rsidR="00B656CD" w:rsidRDefault="00B656CD" w:rsidP="00FB20CA"/>
    <w:p w:rsidR="00FB20CA" w:rsidRPr="00FB20CA" w:rsidRDefault="00FB20CA" w:rsidP="00FB20CA">
      <w:pPr>
        <w:rPr>
          <w:i/>
        </w:rPr>
      </w:pPr>
      <w:r w:rsidRPr="00FB20CA">
        <w:rPr>
          <w:i/>
        </w:rPr>
        <w:t>Outcome:</w:t>
      </w:r>
    </w:p>
    <w:p w:rsidR="00FB20CA" w:rsidRDefault="00FB20CA" w:rsidP="00FB20CA"/>
    <w:p w:rsidR="008647FE" w:rsidRPr="00745A0F" w:rsidRDefault="00FB20CA" w:rsidP="00784646">
      <w:pPr>
        <w:numPr>
          <w:ilvl w:val="0"/>
          <w:numId w:val="10"/>
        </w:numPr>
        <w:rPr>
          <w:rFonts w:ascii="TT4B78DEo00" w:hAnsi="TT4B78DEo00" w:cs="TT4B78DEo00"/>
          <w:b/>
          <w:szCs w:val="24"/>
        </w:rPr>
      </w:pPr>
      <w:r w:rsidRPr="00745A0F">
        <w:rPr>
          <w:b/>
        </w:rPr>
        <w:t xml:space="preserve">The </w:t>
      </w:r>
      <w:r w:rsidR="00CF4B31" w:rsidRPr="00745A0F">
        <w:rPr>
          <w:b/>
        </w:rPr>
        <w:t>Working Group recommend the</w:t>
      </w:r>
      <w:r w:rsidRPr="00745A0F">
        <w:rPr>
          <w:b/>
        </w:rPr>
        <w:t xml:space="preserve"> </w:t>
      </w:r>
      <w:r w:rsidR="00993C36">
        <w:rPr>
          <w:b/>
        </w:rPr>
        <w:t>adoption</w:t>
      </w:r>
      <w:r w:rsidR="00745A0F" w:rsidRPr="00745A0F">
        <w:rPr>
          <w:b/>
        </w:rPr>
        <w:t xml:space="preserve"> by the Fund of a Responsible Investment Policy based on </w:t>
      </w:r>
      <w:r w:rsidR="00745A0F">
        <w:rPr>
          <w:b/>
        </w:rPr>
        <w:t>the P</w:t>
      </w:r>
      <w:r w:rsidR="00745A0F" w:rsidRPr="00745A0F">
        <w:rPr>
          <w:b/>
        </w:rPr>
        <w:t xml:space="preserve">olicy Tool produced by UNPRI, and subsequently work towards the </w:t>
      </w:r>
      <w:r w:rsidRPr="00745A0F">
        <w:rPr>
          <w:b/>
        </w:rPr>
        <w:t>adoption of the UN</w:t>
      </w:r>
      <w:r w:rsidR="00745A0F">
        <w:rPr>
          <w:b/>
        </w:rPr>
        <w:t xml:space="preserve"> Principles</w:t>
      </w:r>
      <w:r w:rsidRPr="00745A0F">
        <w:rPr>
          <w:b/>
        </w:rPr>
        <w:t>.</w:t>
      </w:r>
    </w:p>
    <w:p w:rsidR="008647FE" w:rsidRDefault="008647FE" w:rsidP="008647FE">
      <w:pPr>
        <w:autoSpaceDE w:val="0"/>
        <w:autoSpaceDN w:val="0"/>
        <w:adjustRightInd w:val="0"/>
        <w:rPr>
          <w:rFonts w:ascii="TT4B78DEo00" w:hAnsi="TT4B78DEo00" w:cs="TT4B78DEo00"/>
          <w:szCs w:val="24"/>
        </w:rPr>
      </w:pPr>
    </w:p>
    <w:p w:rsidR="008647FE" w:rsidRDefault="009646AB" w:rsidP="008647FE">
      <w:pPr>
        <w:autoSpaceDE w:val="0"/>
        <w:autoSpaceDN w:val="0"/>
        <w:adjustRightInd w:val="0"/>
        <w:rPr>
          <w:rFonts w:ascii="TT4B78DEo00" w:hAnsi="TT4B78DEo00" w:cs="TT4B78DEo00"/>
          <w:szCs w:val="24"/>
        </w:rPr>
      </w:pPr>
      <w:r>
        <w:t xml:space="preserve">It was felt that the advice and guidance of the Law Commission and Counsel's opinion gave the Pension Fund Committee a degree of flexibility to consider its own position and the direction of travel it might wish to adopt in respect of </w:t>
      </w:r>
      <w:r w:rsidR="009A3E0D">
        <w:t>responsible investment</w:t>
      </w:r>
      <w:r>
        <w:t xml:space="preserve">.  Any moves towards </w:t>
      </w:r>
      <w:r w:rsidR="009A3E0D">
        <w:t xml:space="preserve">responsible investment </w:t>
      </w:r>
      <w:r>
        <w:t>would need to be embedded in the Fund's statement of investment principles</w:t>
      </w:r>
      <w:r w:rsidR="000F388D">
        <w:t xml:space="preserve"> (SIP)</w:t>
      </w:r>
      <w:r>
        <w:t>, investment strategy, asset allocation, fund manager selection and performance monitoring.</w:t>
      </w:r>
    </w:p>
    <w:p w:rsidR="008647FE" w:rsidRDefault="008647FE" w:rsidP="008647FE">
      <w:pPr>
        <w:autoSpaceDE w:val="0"/>
        <w:autoSpaceDN w:val="0"/>
        <w:adjustRightInd w:val="0"/>
        <w:rPr>
          <w:rFonts w:ascii="TT4B78DEo00" w:hAnsi="TT4B78DEo00" w:cs="TT4B78DEo00"/>
          <w:szCs w:val="24"/>
        </w:rPr>
      </w:pPr>
    </w:p>
    <w:p w:rsidR="000000B9" w:rsidRDefault="000000B9" w:rsidP="000000B9">
      <w:pPr>
        <w:autoSpaceDE w:val="0"/>
        <w:autoSpaceDN w:val="0"/>
        <w:adjustRightInd w:val="0"/>
        <w:rPr>
          <w:rFonts w:ascii="TT4B78DEo00" w:hAnsi="TT4B78DEo00" w:cs="TT4B78DEo00"/>
          <w:szCs w:val="24"/>
        </w:rPr>
      </w:pPr>
      <w:r>
        <w:rPr>
          <w:rFonts w:ascii="TT4B78DEo00" w:hAnsi="TT4B78DEo00" w:cs="TT4B78DEo00"/>
          <w:szCs w:val="24"/>
        </w:rPr>
        <w:t>The current version of the Fund's Statement of Investment Principles, approved by the Pension Fund Committee in March 2014, contains the following paragraphs relating to ESG issues:</w:t>
      </w:r>
    </w:p>
    <w:p w:rsidR="000000B9" w:rsidRPr="000811A1" w:rsidRDefault="000000B9" w:rsidP="00B37E79">
      <w:pPr>
        <w:pStyle w:val="Heading4"/>
        <w:spacing w:after="240"/>
        <w:ind w:left="1077" w:hanging="357"/>
        <w:jc w:val="both"/>
        <w:rPr>
          <w:sz w:val="24"/>
          <w:szCs w:val="24"/>
        </w:rPr>
      </w:pPr>
      <w:r w:rsidRPr="000811A1">
        <w:rPr>
          <w:sz w:val="24"/>
          <w:szCs w:val="24"/>
        </w:rPr>
        <w:lastRenderedPageBreak/>
        <w:t>Social, Environmental and Ethical Considerations</w:t>
      </w:r>
    </w:p>
    <w:p w:rsidR="000000B9" w:rsidRPr="006A302E" w:rsidRDefault="000000B9" w:rsidP="00B37E79">
      <w:pPr>
        <w:ind w:left="720"/>
        <w:rPr>
          <w:rFonts w:cs="Arial"/>
          <w:i/>
        </w:rPr>
      </w:pPr>
      <w:r w:rsidRPr="006A302E">
        <w:rPr>
          <w:rFonts w:cs="Arial"/>
          <w:i/>
        </w:rPr>
        <w:t>The Fund takes an active stance on corporate governance issues.  It uses Pensions Investment Research Consultants (“PIRC”) to vote on its behalf at shareholder meetings.  PIRC advises on Socially Responsible Investment issues and issues voting guidance and commentary for shareholder meetings.  PIRC is instructed to vote the Fund's shares in accordance with its guidelines unless an Investment Manager requests a different vote for investment management reasons.  In the latter case, the Treasurer to the Fund will decide how best to cast the vote in the long-term financial interest of the Fund.</w:t>
      </w:r>
    </w:p>
    <w:p w:rsidR="000000B9" w:rsidRPr="006A302E" w:rsidRDefault="000000B9" w:rsidP="00B37E79">
      <w:pPr>
        <w:ind w:left="720"/>
        <w:rPr>
          <w:rFonts w:cs="Arial"/>
          <w:i/>
        </w:rPr>
      </w:pPr>
    </w:p>
    <w:p w:rsidR="000000B9" w:rsidRPr="006A302E" w:rsidRDefault="000000B9" w:rsidP="00B37E79">
      <w:pPr>
        <w:ind w:left="720"/>
        <w:rPr>
          <w:i/>
        </w:rPr>
      </w:pPr>
      <w:r w:rsidRPr="006A302E">
        <w:rPr>
          <w:rFonts w:cs="Arial"/>
          <w:i/>
        </w:rPr>
        <w:t>The Fund is a member of the Local Authority Pension Fund Forum (“LAPFF”), which is a group of like-minded local authority pension funds that meet to discuss and act / engage in respect of Socially Responsible Investment and Corporate Governance issues.</w:t>
      </w:r>
    </w:p>
    <w:p w:rsidR="000000B9" w:rsidRDefault="000000B9" w:rsidP="008647FE">
      <w:pPr>
        <w:autoSpaceDE w:val="0"/>
        <w:autoSpaceDN w:val="0"/>
        <w:adjustRightInd w:val="0"/>
        <w:rPr>
          <w:rFonts w:ascii="TT4B78DEo00" w:hAnsi="TT4B78DEo00" w:cs="TT4B78DEo00"/>
          <w:szCs w:val="24"/>
        </w:rPr>
      </w:pPr>
    </w:p>
    <w:p w:rsidR="000000B9" w:rsidRDefault="000000B9" w:rsidP="008647FE">
      <w:pPr>
        <w:autoSpaceDE w:val="0"/>
        <w:autoSpaceDN w:val="0"/>
        <w:adjustRightInd w:val="0"/>
        <w:rPr>
          <w:rFonts w:ascii="TT4B78DEo00" w:hAnsi="TT4B78DEo00" w:cs="TT4B78DEo00"/>
          <w:szCs w:val="24"/>
        </w:rPr>
      </w:pPr>
    </w:p>
    <w:p w:rsidR="008647FE" w:rsidRPr="002A7054" w:rsidRDefault="002A7054" w:rsidP="00745A0F">
      <w:pPr>
        <w:numPr>
          <w:ilvl w:val="0"/>
          <w:numId w:val="10"/>
        </w:numPr>
        <w:rPr>
          <w:rFonts w:ascii="TT4B78DEo00" w:hAnsi="TT4B78DEo00" w:cs="TT4B78DEo00"/>
          <w:b/>
          <w:szCs w:val="24"/>
        </w:rPr>
      </w:pPr>
      <w:r w:rsidRPr="002A7054">
        <w:rPr>
          <w:rFonts w:ascii="TT4B78DEo00" w:hAnsi="TT4B78DEo00" w:cs="TT4B78DEo00"/>
          <w:b/>
          <w:szCs w:val="24"/>
        </w:rPr>
        <w:t>A</w:t>
      </w:r>
      <w:r w:rsidR="000F388D" w:rsidRPr="002A7054">
        <w:rPr>
          <w:rFonts w:ascii="TT4B78DEo00" w:hAnsi="TT4B78DEo00" w:cs="TT4B78DEo00"/>
          <w:b/>
          <w:szCs w:val="24"/>
        </w:rPr>
        <w:t xml:space="preserve"> proposal for revised </w:t>
      </w:r>
      <w:r w:rsidR="009A3E0D">
        <w:rPr>
          <w:rFonts w:ascii="TT4B78DEo00" w:hAnsi="TT4B78DEo00" w:cs="TT4B78DEo00"/>
          <w:b/>
          <w:szCs w:val="24"/>
        </w:rPr>
        <w:t xml:space="preserve">responsible investment </w:t>
      </w:r>
      <w:r w:rsidR="000F388D" w:rsidRPr="002A7054">
        <w:rPr>
          <w:rFonts w:ascii="TT4B78DEo00" w:hAnsi="TT4B78DEo00" w:cs="TT4B78DEo00"/>
          <w:b/>
          <w:szCs w:val="24"/>
        </w:rPr>
        <w:t xml:space="preserve">wording within the SIP </w:t>
      </w:r>
      <w:r w:rsidR="000000B9">
        <w:rPr>
          <w:rFonts w:ascii="TT4B78DEo00" w:hAnsi="TT4B78DEo00" w:cs="TT4B78DEo00"/>
          <w:b/>
          <w:szCs w:val="24"/>
        </w:rPr>
        <w:t>should be pro</w:t>
      </w:r>
      <w:r w:rsidR="00CF4B31">
        <w:rPr>
          <w:rFonts w:ascii="TT4B78DEo00" w:hAnsi="TT4B78DEo00" w:cs="TT4B78DEo00"/>
          <w:b/>
          <w:szCs w:val="24"/>
        </w:rPr>
        <w:t>duced</w:t>
      </w:r>
      <w:r w:rsidR="000000B9">
        <w:rPr>
          <w:rFonts w:ascii="TT4B78DEo00" w:hAnsi="TT4B78DEo00" w:cs="TT4B78DEo00"/>
          <w:b/>
          <w:szCs w:val="24"/>
        </w:rPr>
        <w:t>.</w:t>
      </w:r>
    </w:p>
    <w:p w:rsidR="008647FE" w:rsidRDefault="008647FE" w:rsidP="008647FE">
      <w:pPr>
        <w:autoSpaceDE w:val="0"/>
        <w:autoSpaceDN w:val="0"/>
        <w:adjustRightInd w:val="0"/>
        <w:rPr>
          <w:rFonts w:ascii="TT4B78DEo00" w:hAnsi="TT4B78DEo00" w:cs="TT4B78DEo00"/>
          <w:szCs w:val="24"/>
        </w:rPr>
      </w:pPr>
    </w:p>
    <w:p w:rsidR="000000B9" w:rsidRDefault="00FF6B80" w:rsidP="000000B9">
      <w:pPr>
        <w:autoSpaceDE w:val="0"/>
        <w:autoSpaceDN w:val="0"/>
        <w:adjustRightInd w:val="0"/>
        <w:rPr>
          <w:rFonts w:ascii="TT4B78DEo00" w:hAnsi="TT4B78DEo00" w:cs="TT4B78DEo00"/>
          <w:szCs w:val="24"/>
        </w:rPr>
      </w:pPr>
      <w:r>
        <w:rPr>
          <w:rFonts w:ascii="TT4B78DEo00" w:hAnsi="TT4B78DEo00" w:cs="TT4B78DEo00"/>
          <w:szCs w:val="24"/>
        </w:rPr>
        <w:t>In advance of revised wording arising from the development of a Responsible Investment policy, p</w:t>
      </w:r>
      <w:r w:rsidR="000000B9">
        <w:rPr>
          <w:rFonts w:ascii="TT4B78DEo00" w:hAnsi="TT4B78DEo00" w:cs="TT4B78DEo00"/>
          <w:szCs w:val="24"/>
        </w:rPr>
        <w:t xml:space="preserve">roposed wording to enhance the Fund's stance in this area is attached as Appendix </w:t>
      </w:r>
      <w:r w:rsidR="004930D3">
        <w:rPr>
          <w:rFonts w:ascii="TT4B78DEo00" w:hAnsi="TT4B78DEo00" w:cs="TT4B78DEo00"/>
          <w:szCs w:val="24"/>
        </w:rPr>
        <w:t>A</w:t>
      </w:r>
      <w:r w:rsidR="000000B9">
        <w:rPr>
          <w:rFonts w:ascii="TT4B78DEo00" w:hAnsi="TT4B78DEo00" w:cs="TT4B78DEo00"/>
          <w:szCs w:val="24"/>
        </w:rPr>
        <w:t xml:space="preserve"> for consideration.</w:t>
      </w:r>
    </w:p>
    <w:p w:rsidR="000F388D" w:rsidRDefault="000F388D" w:rsidP="008647FE">
      <w:pPr>
        <w:autoSpaceDE w:val="0"/>
        <w:autoSpaceDN w:val="0"/>
        <w:adjustRightInd w:val="0"/>
        <w:rPr>
          <w:rFonts w:ascii="TT4B78DEo00" w:hAnsi="TT4B78DEo00" w:cs="TT4B78DEo00"/>
          <w:szCs w:val="24"/>
        </w:rPr>
      </w:pPr>
    </w:p>
    <w:p w:rsidR="00B656CD" w:rsidRDefault="00B656CD" w:rsidP="00B656CD">
      <w:pPr>
        <w:pStyle w:val="ListParagraph"/>
        <w:ind w:left="0"/>
        <w:jc w:val="left"/>
      </w:pPr>
      <w:r>
        <w:t>In terms of influence and engagement, the Group agreed that the influencing of behaviour relating to ESG considerations through LAPFF and PIRC continued to be important.  It was noted that LAPFF would welcome the opportunity to engage more effectively with members of the Committee including the attendance of members at its meetings. The Group welcomed the prospect of senior representatives of both LAPFF and PIRC being scheduled to present to the November 2014 meeting of the Committee, and to hear what both organisations do on the Fund's behalf and what more could be done to increase engagement.</w:t>
      </w:r>
    </w:p>
    <w:p w:rsidR="00CA5834" w:rsidRDefault="00CA5834" w:rsidP="008647FE">
      <w:pPr>
        <w:autoSpaceDE w:val="0"/>
        <w:autoSpaceDN w:val="0"/>
        <w:adjustRightInd w:val="0"/>
        <w:rPr>
          <w:rFonts w:ascii="TT4B78DEo00" w:hAnsi="TT4B78DEo00" w:cs="TT4B78DEo00"/>
          <w:szCs w:val="24"/>
        </w:rPr>
      </w:pPr>
    </w:p>
    <w:p w:rsidR="004D223E" w:rsidRDefault="004D223E" w:rsidP="008647FE">
      <w:pPr>
        <w:autoSpaceDE w:val="0"/>
        <w:autoSpaceDN w:val="0"/>
        <w:adjustRightInd w:val="0"/>
        <w:rPr>
          <w:rFonts w:ascii="TT4B78DEo00" w:hAnsi="TT4B78DEo00" w:cs="TT4B78DEo00"/>
          <w:szCs w:val="24"/>
        </w:rPr>
      </w:pPr>
    </w:p>
    <w:p w:rsidR="00AB2D5F" w:rsidRPr="002A7054" w:rsidRDefault="00AB2D5F" w:rsidP="00AB2D5F">
      <w:pPr>
        <w:autoSpaceDE w:val="0"/>
        <w:autoSpaceDN w:val="0"/>
        <w:adjustRightInd w:val="0"/>
        <w:rPr>
          <w:rFonts w:ascii="TT4B78DEo00" w:hAnsi="TT4B78DEo00" w:cs="TT4B78DEo00"/>
          <w:i/>
          <w:szCs w:val="24"/>
        </w:rPr>
      </w:pPr>
      <w:r w:rsidRPr="002A7054">
        <w:rPr>
          <w:rFonts w:ascii="TT4B78DEo00" w:hAnsi="TT4B78DEo00" w:cs="TT4B78DEo00"/>
          <w:i/>
          <w:szCs w:val="24"/>
        </w:rPr>
        <w:t>Analysis and monitoring</w:t>
      </w:r>
    </w:p>
    <w:p w:rsidR="00AB2D5F" w:rsidRDefault="00AB2D5F" w:rsidP="00AB2D5F">
      <w:pPr>
        <w:autoSpaceDE w:val="0"/>
        <w:autoSpaceDN w:val="0"/>
        <w:adjustRightInd w:val="0"/>
        <w:rPr>
          <w:rFonts w:ascii="TT4B78DEo00" w:hAnsi="TT4B78DEo00" w:cs="TT4B78DEo00"/>
          <w:szCs w:val="24"/>
        </w:rPr>
      </w:pPr>
    </w:p>
    <w:p w:rsidR="00AB2D5F" w:rsidRDefault="00AB2D5F" w:rsidP="00AB2D5F">
      <w:pPr>
        <w:pStyle w:val="ListParagraph"/>
        <w:ind w:left="0"/>
      </w:pPr>
      <w:r>
        <w:t xml:space="preserve">In wishing to be a good asset owner, and promote transparency and accountability – the adoption of an analysis tool or model (such as those developed by Northern Trust and </w:t>
      </w:r>
      <w:proofErr w:type="spellStart"/>
      <w:r>
        <w:t>Robeco</w:t>
      </w:r>
      <w:proofErr w:type="spellEnd"/>
      <w:r>
        <w:t>) to measure carbon footprints and risks, and/or environmental, social and governance (ESG) issues across the Fund's portfolio was discussed.</w:t>
      </w:r>
    </w:p>
    <w:p w:rsidR="00AB2D5F" w:rsidRDefault="00AB2D5F" w:rsidP="00AB2D5F">
      <w:pPr>
        <w:autoSpaceDE w:val="0"/>
        <w:autoSpaceDN w:val="0"/>
        <w:adjustRightInd w:val="0"/>
        <w:rPr>
          <w:rFonts w:ascii="TT4B78DEo00" w:hAnsi="TT4B78DEo00" w:cs="TT4B78DEo00"/>
          <w:szCs w:val="24"/>
        </w:rPr>
      </w:pPr>
    </w:p>
    <w:p w:rsidR="00B656CD" w:rsidRDefault="00B656CD" w:rsidP="00AB2D5F">
      <w:pPr>
        <w:autoSpaceDE w:val="0"/>
        <w:autoSpaceDN w:val="0"/>
        <w:adjustRightInd w:val="0"/>
        <w:rPr>
          <w:rFonts w:ascii="TT4B78DEo00" w:hAnsi="TT4B78DEo00" w:cs="TT4B78DEo00"/>
          <w:szCs w:val="24"/>
        </w:rPr>
      </w:pPr>
      <w:r>
        <w:rPr>
          <w:rFonts w:ascii="TT4B78DEo00" w:hAnsi="TT4B78DEo00" w:cs="TT4B78DEo00"/>
          <w:szCs w:val="24"/>
        </w:rPr>
        <w:t xml:space="preserve">Whilst not advocating </w:t>
      </w:r>
      <w:r w:rsidR="006650BC">
        <w:rPr>
          <w:rFonts w:ascii="TT4B78DEo00" w:hAnsi="TT4B78DEo00" w:cs="TT4B78DEo00"/>
          <w:szCs w:val="24"/>
        </w:rPr>
        <w:t xml:space="preserve">a move away from unconstrained equity mandates, the Group felt that ESG issues should form a more structured element of the ongoing discussions that the Fund has with its external managers. Such discussions may be </w:t>
      </w:r>
      <w:r w:rsidR="00F5282C">
        <w:rPr>
          <w:rFonts w:ascii="TT4B78DEo00" w:hAnsi="TT4B78DEo00" w:cs="TT4B78DEo00"/>
          <w:szCs w:val="24"/>
        </w:rPr>
        <w:t xml:space="preserve">helped, but not dependent </w:t>
      </w:r>
      <w:r w:rsidR="006A4DFB">
        <w:rPr>
          <w:rFonts w:ascii="TT4B78DEo00" w:hAnsi="TT4B78DEo00" w:cs="TT4B78DEo00"/>
          <w:szCs w:val="24"/>
        </w:rPr>
        <w:t xml:space="preserve">upon, </w:t>
      </w:r>
      <w:r w:rsidR="006A302E">
        <w:rPr>
          <w:rFonts w:ascii="TT4B78DEo00" w:hAnsi="TT4B78DEo00" w:cs="TT4B78DEo00"/>
          <w:szCs w:val="24"/>
        </w:rPr>
        <w:t>the procurement of an appropriate monitoring tool.</w:t>
      </w:r>
    </w:p>
    <w:p w:rsidR="00B656CD" w:rsidRDefault="00B656CD" w:rsidP="00AB2D5F">
      <w:pPr>
        <w:autoSpaceDE w:val="0"/>
        <w:autoSpaceDN w:val="0"/>
        <w:adjustRightInd w:val="0"/>
        <w:rPr>
          <w:rFonts w:ascii="TT4B78DEo00" w:hAnsi="TT4B78DEo00" w:cs="TT4B78DEo00"/>
          <w:szCs w:val="24"/>
        </w:rPr>
      </w:pPr>
    </w:p>
    <w:p w:rsidR="0009646E" w:rsidRDefault="0009646E" w:rsidP="00AB2D5F">
      <w:pPr>
        <w:autoSpaceDE w:val="0"/>
        <w:autoSpaceDN w:val="0"/>
        <w:adjustRightInd w:val="0"/>
        <w:rPr>
          <w:rFonts w:ascii="TT4B78DEo00" w:hAnsi="TT4B78DEo00" w:cs="TT4B78DEo00"/>
          <w:szCs w:val="24"/>
        </w:rPr>
      </w:pPr>
    </w:p>
    <w:p w:rsidR="0009646E" w:rsidRDefault="0009646E" w:rsidP="00AB2D5F">
      <w:pPr>
        <w:autoSpaceDE w:val="0"/>
        <w:autoSpaceDN w:val="0"/>
        <w:adjustRightInd w:val="0"/>
        <w:rPr>
          <w:rFonts w:ascii="TT4B78DEo00" w:hAnsi="TT4B78DEo00" w:cs="TT4B78DEo00"/>
          <w:szCs w:val="24"/>
        </w:rPr>
      </w:pPr>
    </w:p>
    <w:p w:rsidR="0009646E" w:rsidRDefault="0009646E" w:rsidP="00AB2D5F">
      <w:pPr>
        <w:autoSpaceDE w:val="0"/>
        <w:autoSpaceDN w:val="0"/>
        <w:adjustRightInd w:val="0"/>
        <w:rPr>
          <w:rFonts w:ascii="TT4B78DEo00" w:hAnsi="TT4B78DEo00" w:cs="TT4B78DEo00"/>
          <w:szCs w:val="24"/>
        </w:rPr>
      </w:pPr>
    </w:p>
    <w:p w:rsidR="00CA5834" w:rsidRPr="00AB2D5F" w:rsidRDefault="00AB2D5F" w:rsidP="008647FE">
      <w:pPr>
        <w:autoSpaceDE w:val="0"/>
        <w:autoSpaceDN w:val="0"/>
        <w:adjustRightInd w:val="0"/>
        <w:rPr>
          <w:rFonts w:ascii="TT4B78DEo00" w:hAnsi="TT4B78DEo00" w:cs="TT4B78DEo00"/>
          <w:i/>
          <w:szCs w:val="24"/>
        </w:rPr>
      </w:pPr>
      <w:r w:rsidRPr="00AB2D5F">
        <w:rPr>
          <w:rFonts w:ascii="TT4B78DEo00" w:hAnsi="TT4B78DEo00" w:cs="TT4B78DEo00"/>
          <w:i/>
          <w:szCs w:val="24"/>
        </w:rPr>
        <w:lastRenderedPageBreak/>
        <w:t>Outcome</w:t>
      </w:r>
      <w:r w:rsidR="006A302E">
        <w:rPr>
          <w:rFonts w:ascii="TT4B78DEo00" w:hAnsi="TT4B78DEo00" w:cs="TT4B78DEo00"/>
          <w:i/>
          <w:szCs w:val="24"/>
        </w:rPr>
        <w:t>s</w:t>
      </w:r>
      <w:r w:rsidRPr="00AB2D5F">
        <w:rPr>
          <w:rFonts w:ascii="TT4B78DEo00" w:hAnsi="TT4B78DEo00" w:cs="TT4B78DEo00"/>
          <w:i/>
          <w:szCs w:val="24"/>
        </w:rPr>
        <w:t>:</w:t>
      </w:r>
    </w:p>
    <w:p w:rsidR="00EB30FA" w:rsidRDefault="00EB30FA" w:rsidP="008647FE">
      <w:pPr>
        <w:autoSpaceDE w:val="0"/>
        <w:autoSpaceDN w:val="0"/>
        <w:adjustRightInd w:val="0"/>
        <w:rPr>
          <w:rFonts w:ascii="TT4B78DEo00" w:hAnsi="TT4B78DEo00" w:cs="TT4B78DEo00"/>
          <w:szCs w:val="24"/>
        </w:rPr>
      </w:pPr>
    </w:p>
    <w:p w:rsidR="00CA5834" w:rsidRPr="006A302E" w:rsidRDefault="006A302E" w:rsidP="000D3C69">
      <w:pPr>
        <w:numPr>
          <w:ilvl w:val="0"/>
          <w:numId w:val="10"/>
        </w:numPr>
        <w:autoSpaceDE w:val="0"/>
        <w:autoSpaceDN w:val="0"/>
        <w:adjustRightInd w:val="0"/>
        <w:spacing w:after="120"/>
        <w:ind w:left="924" w:hanging="357"/>
        <w:rPr>
          <w:rFonts w:ascii="TT4B78DEo00" w:hAnsi="TT4B78DEo00" w:cs="TT4B78DEo00"/>
          <w:b/>
          <w:szCs w:val="24"/>
        </w:rPr>
      </w:pPr>
      <w:r w:rsidRPr="006A302E">
        <w:rPr>
          <w:rFonts w:ascii="TT4B78DEo00" w:hAnsi="TT4B78DEo00" w:cs="TT4B78DEo00"/>
          <w:b/>
          <w:szCs w:val="24"/>
        </w:rPr>
        <w:t>Investigate the options for procuring/ signing up to an ESG monitoring tool/ service.</w:t>
      </w:r>
    </w:p>
    <w:p w:rsidR="006A302E" w:rsidRPr="006A302E" w:rsidRDefault="006A302E" w:rsidP="00745A0F">
      <w:pPr>
        <w:numPr>
          <w:ilvl w:val="0"/>
          <w:numId w:val="10"/>
        </w:numPr>
        <w:autoSpaceDE w:val="0"/>
        <w:autoSpaceDN w:val="0"/>
        <w:adjustRightInd w:val="0"/>
        <w:rPr>
          <w:rFonts w:ascii="TT4B78DEo00" w:hAnsi="TT4B78DEo00" w:cs="TT4B78DEo00"/>
          <w:b/>
          <w:szCs w:val="24"/>
        </w:rPr>
      </w:pPr>
      <w:r w:rsidRPr="006A302E">
        <w:rPr>
          <w:rFonts w:ascii="TT4B78DEo00" w:hAnsi="TT4B78DEo00" w:cs="TT4B78DEo00"/>
          <w:b/>
          <w:szCs w:val="24"/>
        </w:rPr>
        <w:t xml:space="preserve">Formalise ESG discussions with </w:t>
      </w:r>
      <w:r w:rsidR="00B56D83">
        <w:rPr>
          <w:rFonts w:ascii="TT4B78DEo00" w:hAnsi="TT4B78DEo00" w:cs="TT4B78DEo00"/>
          <w:b/>
          <w:szCs w:val="24"/>
        </w:rPr>
        <w:t xml:space="preserve">external </w:t>
      </w:r>
      <w:r w:rsidRPr="006A302E">
        <w:rPr>
          <w:rFonts w:ascii="TT4B78DEo00" w:hAnsi="TT4B78DEo00" w:cs="TT4B78DEo00"/>
          <w:b/>
          <w:szCs w:val="24"/>
        </w:rPr>
        <w:t>investment managers as part of ongoing engagement.</w:t>
      </w:r>
    </w:p>
    <w:p w:rsidR="008647FE" w:rsidRDefault="008647FE" w:rsidP="008647FE">
      <w:pPr>
        <w:autoSpaceDE w:val="0"/>
        <w:autoSpaceDN w:val="0"/>
        <w:adjustRightInd w:val="0"/>
        <w:rPr>
          <w:rFonts w:ascii="TT4B78DEo00" w:hAnsi="TT4B78DEo00" w:cs="TT4B78DEo00"/>
          <w:szCs w:val="24"/>
        </w:rPr>
      </w:pPr>
    </w:p>
    <w:p w:rsidR="00AB2D5F" w:rsidRDefault="00AB2D5F" w:rsidP="008647FE">
      <w:pPr>
        <w:autoSpaceDE w:val="0"/>
        <w:autoSpaceDN w:val="0"/>
        <w:adjustRightInd w:val="0"/>
        <w:rPr>
          <w:rFonts w:ascii="TT4B78DEo00" w:hAnsi="TT4B78DEo00" w:cs="TT4B78DEo00"/>
          <w:szCs w:val="24"/>
        </w:rPr>
      </w:pPr>
    </w:p>
    <w:p w:rsidR="0054093D" w:rsidRDefault="0054093D" w:rsidP="008647FE">
      <w:pPr>
        <w:autoSpaceDE w:val="0"/>
        <w:autoSpaceDN w:val="0"/>
        <w:adjustRightInd w:val="0"/>
        <w:rPr>
          <w:rFonts w:ascii="TT4B78DEo00" w:hAnsi="TT4B78DEo00" w:cs="TT4B78DEo00"/>
          <w:szCs w:val="24"/>
        </w:rPr>
        <w:sectPr w:rsidR="0054093D">
          <w:footerReference w:type="first" r:id="rId8"/>
          <w:type w:val="continuous"/>
          <w:pgSz w:w="11907" w:h="16840" w:code="9"/>
          <w:pgMar w:top="1440" w:right="1440" w:bottom="1440" w:left="1440" w:header="720" w:footer="306" w:gutter="0"/>
          <w:paperSrc w:first="7" w:other="7"/>
          <w:cols w:space="720"/>
          <w:titlePg/>
        </w:sectPr>
      </w:pPr>
    </w:p>
    <w:p w:rsidR="000000B9" w:rsidRDefault="000000B9" w:rsidP="000000B9">
      <w:pPr>
        <w:pStyle w:val="Heading1"/>
      </w:pPr>
    </w:p>
    <w:p w:rsidR="000000B9" w:rsidRDefault="000000B9" w:rsidP="000000B9">
      <w:pPr>
        <w:pStyle w:val="Heading1"/>
      </w:pPr>
      <w:r>
        <w:t>Consultations</w:t>
      </w:r>
    </w:p>
    <w:p w:rsidR="000000B9" w:rsidRDefault="000000B9" w:rsidP="000000B9">
      <w:pPr>
        <w:pStyle w:val="Header"/>
      </w:pPr>
    </w:p>
    <w:p w:rsidR="000000B9" w:rsidRDefault="00C1219F" w:rsidP="000000B9">
      <w:r>
        <w:t>N/A</w:t>
      </w:r>
    </w:p>
    <w:p w:rsidR="000000B9" w:rsidRDefault="000000B9" w:rsidP="000000B9"/>
    <w:p w:rsidR="000000B9" w:rsidRDefault="000000B9" w:rsidP="000000B9">
      <w:r>
        <w:rPr>
          <w:b/>
        </w:rPr>
        <w:t>Implications</w:t>
      </w:r>
      <w:r>
        <w:t xml:space="preserve">: </w:t>
      </w:r>
    </w:p>
    <w:p w:rsidR="000000B9" w:rsidRDefault="000000B9" w:rsidP="000000B9"/>
    <w:p w:rsidR="000000B9" w:rsidRDefault="000000B9" w:rsidP="000000B9">
      <w:r>
        <w:t>This item has the following implications, as indicated:</w:t>
      </w:r>
    </w:p>
    <w:p w:rsidR="000000B9" w:rsidRDefault="000000B9" w:rsidP="000000B9">
      <w:pPr>
        <w:rPr>
          <w:b/>
        </w:rPr>
      </w:pPr>
    </w:p>
    <w:p w:rsidR="000000B9" w:rsidRPr="00092B2F" w:rsidRDefault="000000B9" w:rsidP="000000B9">
      <w:pPr>
        <w:rPr>
          <w:b/>
        </w:rPr>
      </w:pPr>
      <w:r w:rsidRPr="00092B2F">
        <w:rPr>
          <w:b/>
        </w:rPr>
        <w:t>Risk management</w:t>
      </w:r>
    </w:p>
    <w:p w:rsidR="000000B9" w:rsidRDefault="000000B9" w:rsidP="000000B9"/>
    <w:p w:rsidR="000000B9" w:rsidRPr="007B5200" w:rsidRDefault="00ED0CA6" w:rsidP="000000B9">
      <w:r>
        <w:t>No significant risks have been identified in relation to this report.</w:t>
      </w:r>
    </w:p>
    <w:p w:rsidR="000000B9" w:rsidRDefault="000000B9" w:rsidP="000000B9"/>
    <w:p w:rsidR="000000B9" w:rsidRDefault="000000B9" w:rsidP="000000B9">
      <w:pPr>
        <w:pStyle w:val="Header"/>
      </w:pPr>
    </w:p>
    <w:p w:rsidR="000000B9" w:rsidRDefault="000000B9" w:rsidP="000000B9">
      <w:pPr>
        <w:pStyle w:val="Heading5"/>
        <w:rPr>
          <w:rFonts w:ascii="Arial" w:hAnsi="Arial"/>
        </w:rPr>
      </w:pPr>
    </w:p>
    <w:p w:rsidR="000000B9" w:rsidRDefault="000000B9" w:rsidP="000000B9">
      <w:pPr>
        <w:pStyle w:val="Heading5"/>
        <w:rPr>
          <w:rFonts w:ascii="Arial" w:hAnsi="Arial"/>
          <w:u w:val="none"/>
        </w:rPr>
      </w:pPr>
      <w:r>
        <w:rPr>
          <w:rFonts w:ascii="Arial" w:hAnsi="Arial"/>
          <w:u w:val="none"/>
        </w:rPr>
        <w:t>Local Government (Access to Information) Act 1985</w:t>
      </w:r>
    </w:p>
    <w:p w:rsidR="000000B9" w:rsidRDefault="000000B9" w:rsidP="000000B9">
      <w:pPr>
        <w:pStyle w:val="Heading5"/>
        <w:rPr>
          <w:rFonts w:ascii="Arial" w:hAnsi="Arial"/>
          <w:u w:val="none"/>
        </w:rPr>
      </w:pPr>
      <w:r>
        <w:rPr>
          <w:rFonts w:ascii="Arial" w:hAnsi="Arial"/>
          <w:u w:val="none"/>
        </w:rPr>
        <w:t>List of Background Papers</w:t>
      </w:r>
    </w:p>
    <w:p w:rsidR="000000B9" w:rsidRDefault="000000B9" w:rsidP="000000B9"/>
    <w:tbl>
      <w:tblPr>
        <w:tblW w:w="0" w:type="auto"/>
        <w:tblLayout w:type="fixed"/>
        <w:tblLook w:val="0000" w:firstRow="0" w:lastRow="0" w:firstColumn="0" w:lastColumn="0" w:noHBand="0" w:noVBand="0"/>
      </w:tblPr>
      <w:tblGrid>
        <w:gridCol w:w="3227"/>
        <w:gridCol w:w="2775"/>
        <w:gridCol w:w="3178"/>
      </w:tblGrid>
      <w:tr w:rsidR="000000B9" w:rsidTr="00B656CD">
        <w:tc>
          <w:tcPr>
            <w:tcW w:w="3227" w:type="dxa"/>
          </w:tcPr>
          <w:p w:rsidR="000000B9" w:rsidRDefault="000000B9" w:rsidP="00B656CD">
            <w:pPr>
              <w:pStyle w:val="Heading7"/>
              <w:rPr>
                <w:rFonts w:ascii="Arial" w:hAnsi="Arial"/>
                <w:u w:val="none"/>
              </w:rPr>
            </w:pPr>
            <w:r>
              <w:rPr>
                <w:rFonts w:ascii="Arial" w:hAnsi="Arial"/>
                <w:u w:val="none"/>
              </w:rPr>
              <w:t>Paper</w:t>
            </w:r>
          </w:p>
        </w:tc>
        <w:tc>
          <w:tcPr>
            <w:tcW w:w="2775" w:type="dxa"/>
          </w:tcPr>
          <w:p w:rsidR="000000B9" w:rsidRDefault="000000B9" w:rsidP="00B656CD">
            <w:pPr>
              <w:pStyle w:val="Heading7"/>
              <w:rPr>
                <w:rFonts w:ascii="Arial" w:hAnsi="Arial"/>
                <w:u w:val="none"/>
              </w:rPr>
            </w:pPr>
            <w:r>
              <w:rPr>
                <w:rFonts w:ascii="Arial" w:hAnsi="Arial"/>
                <w:u w:val="none"/>
              </w:rPr>
              <w:t>Date</w:t>
            </w:r>
          </w:p>
        </w:tc>
        <w:tc>
          <w:tcPr>
            <w:tcW w:w="3178" w:type="dxa"/>
          </w:tcPr>
          <w:p w:rsidR="000000B9" w:rsidRDefault="000000B9" w:rsidP="00B656CD">
            <w:pPr>
              <w:pStyle w:val="Heading7"/>
              <w:rPr>
                <w:rFonts w:ascii="Arial" w:hAnsi="Arial"/>
                <w:u w:val="none"/>
              </w:rPr>
            </w:pPr>
            <w:r>
              <w:rPr>
                <w:rFonts w:ascii="Arial" w:hAnsi="Arial"/>
                <w:u w:val="none"/>
              </w:rPr>
              <w:t>Contact/Directorate/Tel</w:t>
            </w:r>
          </w:p>
        </w:tc>
      </w:tr>
      <w:tr w:rsidR="000000B9" w:rsidTr="00B656CD">
        <w:tc>
          <w:tcPr>
            <w:tcW w:w="3227" w:type="dxa"/>
          </w:tcPr>
          <w:p w:rsidR="000000B9" w:rsidRDefault="000000B9" w:rsidP="00B656CD">
            <w:pPr>
              <w:pStyle w:val="Heading7"/>
              <w:rPr>
                <w:rFonts w:ascii="Arial" w:hAnsi="Arial"/>
                <w:u w:val="none"/>
              </w:rPr>
            </w:pPr>
          </w:p>
          <w:p w:rsidR="000000B9" w:rsidRDefault="00C1219F" w:rsidP="00B656CD">
            <w:r>
              <w:t>Report to the SRI Working Group – 9 September 2014</w:t>
            </w:r>
          </w:p>
          <w:p w:rsidR="00246539" w:rsidRDefault="00246539" w:rsidP="00B656CD"/>
          <w:p w:rsidR="00246539" w:rsidRDefault="00246539" w:rsidP="00B656CD"/>
          <w:p w:rsidR="00246539" w:rsidRDefault="00246539" w:rsidP="00B656CD"/>
          <w:p w:rsidR="00246539" w:rsidRDefault="00246539" w:rsidP="00B656CD">
            <w:r>
              <w:t>National Association of Pension Funds (NAPF) Responsible Investment Guide</w:t>
            </w:r>
          </w:p>
          <w:p w:rsidR="00246539" w:rsidRDefault="00246539" w:rsidP="00B656CD"/>
        </w:tc>
        <w:tc>
          <w:tcPr>
            <w:tcW w:w="2775" w:type="dxa"/>
          </w:tcPr>
          <w:p w:rsidR="000000B9" w:rsidRDefault="000000B9" w:rsidP="00B656CD">
            <w:pPr>
              <w:pStyle w:val="Heading7"/>
              <w:rPr>
                <w:rFonts w:ascii="Arial" w:hAnsi="Arial"/>
                <w:u w:val="none"/>
              </w:rPr>
            </w:pPr>
          </w:p>
          <w:p w:rsidR="000000B9" w:rsidRDefault="00C1219F" w:rsidP="00B656CD">
            <w:r>
              <w:t>September 2014</w:t>
            </w:r>
          </w:p>
          <w:p w:rsidR="00246539" w:rsidRDefault="00246539" w:rsidP="00B656CD"/>
          <w:p w:rsidR="00246539" w:rsidRDefault="00246539" w:rsidP="00B656CD"/>
          <w:p w:rsidR="00246539" w:rsidRDefault="00246539" w:rsidP="00B656CD"/>
          <w:p w:rsidR="00246539" w:rsidRDefault="00246539" w:rsidP="00B656CD"/>
          <w:p w:rsidR="00246539" w:rsidRDefault="00246539" w:rsidP="00B656CD">
            <w:r>
              <w:t>2013</w:t>
            </w:r>
          </w:p>
        </w:tc>
        <w:tc>
          <w:tcPr>
            <w:tcW w:w="3178" w:type="dxa"/>
          </w:tcPr>
          <w:p w:rsidR="000000B9" w:rsidRDefault="000000B9" w:rsidP="00B656CD"/>
          <w:p w:rsidR="000000B9" w:rsidRDefault="00C1219F" w:rsidP="00C1219F">
            <w:r>
              <w:t>Andrew Fox/ County Treasurer's Directorate/ 01772 535916</w:t>
            </w:r>
          </w:p>
          <w:p w:rsidR="00F80E7A" w:rsidRDefault="00F80E7A" w:rsidP="00C1219F"/>
          <w:p w:rsidR="00246539" w:rsidRDefault="00246539" w:rsidP="00C1219F"/>
          <w:p w:rsidR="00246539" w:rsidRDefault="00246539" w:rsidP="00C1219F">
            <w:r>
              <w:t>Andrew Fox/ County Treasurer's Directorate/ 01772 535916</w:t>
            </w:r>
          </w:p>
        </w:tc>
      </w:tr>
      <w:tr w:rsidR="000000B9" w:rsidTr="00B656CD">
        <w:tc>
          <w:tcPr>
            <w:tcW w:w="9180" w:type="dxa"/>
            <w:gridSpan w:val="3"/>
          </w:tcPr>
          <w:p w:rsidR="000000B9" w:rsidRDefault="000000B9" w:rsidP="00B656CD">
            <w:r>
              <w:t>Reason for inclusion in Part II, if appropriate</w:t>
            </w:r>
          </w:p>
          <w:p w:rsidR="000000B9" w:rsidRDefault="000000B9" w:rsidP="00B656CD"/>
          <w:p w:rsidR="000000B9" w:rsidRDefault="00C1219F" w:rsidP="00B656CD">
            <w:r>
              <w:t>N/A</w:t>
            </w:r>
          </w:p>
          <w:p w:rsidR="000000B9" w:rsidRDefault="000000B9" w:rsidP="00B656CD"/>
        </w:tc>
      </w:tr>
    </w:tbl>
    <w:p w:rsidR="00AB4D50" w:rsidRDefault="00AB4D50" w:rsidP="000000B9">
      <w:pPr>
        <w:autoSpaceDE w:val="0"/>
        <w:autoSpaceDN w:val="0"/>
        <w:adjustRightInd w:val="0"/>
        <w:rPr>
          <w:rFonts w:cs="Arial"/>
          <w:sz w:val="28"/>
          <w:szCs w:val="28"/>
        </w:rPr>
      </w:pPr>
    </w:p>
    <w:p w:rsidR="00AB4D50" w:rsidRDefault="00AB4D50" w:rsidP="000000B9">
      <w:pPr>
        <w:autoSpaceDE w:val="0"/>
        <w:autoSpaceDN w:val="0"/>
        <w:adjustRightInd w:val="0"/>
        <w:rPr>
          <w:rFonts w:cs="Arial"/>
          <w:sz w:val="28"/>
          <w:szCs w:val="28"/>
        </w:rPr>
        <w:sectPr w:rsidR="00AB4D50" w:rsidSect="0054093D">
          <w:footerReference w:type="default" r:id="rId9"/>
          <w:headerReference w:type="first" r:id="rId10"/>
          <w:pgSz w:w="11907" w:h="16840" w:code="9"/>
          <w:pgMar w:top="1440" w:right="1440" w:bottom="1440" w:left="1440" w:header="720" w:footer="306" w:gutter="0"/>
          <w:paperSrc w:first="7" w:other="7"/>
          <w:cols w:space="720"/>
          <w:titlePg/>
        </w:sectPr>
      </w:pPr>
    </w:p>
    <w:p w:rsidR="000000B9" w:rsidRPr="000000B9" w:rsidRDefault="000000B9" w:rsidP="000000B9">
      <w:pPr>
        <w:autoSpaceDE w:val="0"/>
        <w:autoSpaceDN w:val="0"/>
        <w:adjustRightInd w:val="0"/>
        <w:rPr>
          <w:rFonts w:cs="Arial"/>
          <w:sz w:val="28"/>
          <w:szCs w:val="28"/>
        </w:rPr>
      </w:pPr>
      <w:r w:rsidRPr="000000B9">
        <w:rPr>
          <w:rFonts w:cs="Arial"/>
          <w:sz w:val="28"/>
          <w:szCs w:val="28"/>
        </w:rPr>
        <w:lastRenderedPageBreak/>
        <w:t>Corporate Governance and Responsible Investment</w:t>
      </w:r>
    </w:p>
    <w:p w:rsidR="000000B9" w:rsidRPr="000000B9" w:rsidRDefault="000000B9" w:rsidP="000000B9">
      <w:pPr>
        <w:autoSpaceDE w:val="0"/>
        <w:autoSpaceDN w:val="0"/>
        <w:adjustRightInd w:val="0"/>
        <w:rPr>
          <w:rFonts w:cs="Arial"/>
          <w:sz w:val="22"/>
          <w:szCs w:val="22"/>
        </w:rPr>
      </w:pPr>
    </w:p>
    <w:p w:rsidR="000000B9" w:rsidRPr="00CA5834" w:rsidRDefault="001E43FE" w:rsidP="000000B9">
      <w:pPr>
        <w:autoSpaceDE w:val="0"/>
        <w:autoSpaceDN w:val="0"/>
        <w:adjustRightInd w:val="0"/>
        <w:rPr>
          <w:rFonts w:cs="Arial"/>
          <w:b/>
          <w:color w:val="000000"/>
          <w:sz w:val="22"/>
          <w:szCs w:val="22"/>
        </w:rPr>
      </w:pPr>
      <w:r>
        <w:rPr>
          <w:rFonts w:cs="Arial"/>
          <w:b/>
          <w:color w:val="000000"/>
          <w:sz w:val="22"/>
          <w:szCs w:val="22"/>
        </w:rPr>
        <w:t>Corporate Governance</w:t>
      </w:r>
    </w:p>
    <w:p w:rsidR="000000B9" w:rsidRPr="00CA5834" w:rsidRDefault="000000B9" w:rsidP="000000B9">
      <w:pPr>
        <w:autoSpaceDE w:val="0"/>
        <w:autoSpaceDN w:val="0"/>
        <w:adjustRightInd w:val="0"/>
        <w:rPr>
          <w:rFonts w:cs="Arial"/>
          <w:color w:val="000000"/>
          <w:sz w:val="22"/>
          <w:szCs w:val="22"/>
        </w:rPr>
      </w:pPr>
    </w:p>
    <w:p w:rsidR="000000B9" w:rsidRPr="00CA5834" w:rsidRDefault="000000B9" w:rsidP="000000B9">
      <w:pPr>
        <w:autoSpaceDE w:val="0"/>
        <w:autoSpaceDN w:val="0"/>
        <w:adjustRightInd w:val="0"/>
        <w:rPr>
          <w:rFonts w:cs="Arial"/>
          <w:color w:val="000000"/>
          <w:sz w:val="22"/>
          <w:szCs w:val="22"/>
        </w:rPr>
      </w:pPr>
      <w:r w:rsidRPr="00CA5834">
        <w:rPr>
          <w:rFonts w:cs="Arial"/>
          <w:color w:val="000000"/>
          <w:sz w:val="22"/>
          <w:szCs w:val="22"/>
        </w:rPr>
        <w:t>The Fund recognises its responsibility as an institutional investor to support and encourage good corporate governance practices in the companies in which it invests. The Fund considers that good corporate governance can contribute to business prosperity by encouraging accountability between boards, shareholders and other stakeholders. Good corporate governance also plays a major role in encouraging corporate responsibility to shareholders, employees and wider society.</w:t>
      </w:r>
    </w:p>
    <w:p w:rsidR="000000B9" w:rsidRDefault="000000B9" w:rsidP="000000B9">
      <w:pPr>
        <w:autoSpaceDE w:val="0"/>
        <w:autoSpaceDN w:val="0"/>
        <w:adjustRightInd w:val="0"/>
        <w:rPr>
          <w:rFonts w:cs="Arial"/>
          <w:color w:val="000000"/>
          <w:sz w:val="22"/>
          <w:szCs w:val="22"/>
        </w:rPr>
      </w:pPr>
    </w:p>
    <w:p w:rsidR="001E43FE" w:rsidRPr="001E43FE" w:rsidRDefault="001E43FE" w:rsidP="000000B9">
      <w:pPr>
        <w:autoSpaceDE w:val="0"/>
        <w:autoSpaceDN w:val="0"/>
        <w:adjustRightInd w:val="0"/>
        <w:rPr>
          <w:rFonts w:cs="Arial"/>
          <w:b/>
          <w:color w:val="000000"/>
          <w:sz w:val="22"/>
          <w:szCs w:val="22"/>
        </w:rPr>
      </w:pPr>
      <w:r w:rsidRPr="001E43FE">
        <w:rPr>
          <w:rFonts w:cs="Arial"/>
          <w:b/>
          <w:color w:val="000000"/>
          <w:sz w:val="22"/>
          <w:szCs w:val="22"/>
        </w:rPr>
        <w:t>The Fund's approach to Corporate Governance</w:t>
      </w:r>
    </w:p>
    <w:p w:rsidR="001E43FE" w:rsidRPr="00CA5834" w:rsidRDefault="001E43FE" w:rsidP="000000B9">
      <w:pPr>
        <w:autoSpaceDE w:val="0"/>
        <w:autoSpaceDN w:val="0"/>
        <w:adjustRightInd w:val="0"/>
        <w:rPr>
          <w:rFonts w:cs="Arial"/>
          <w:color w:val="000000"/>
          <w:sz w:val="22"/>
          <w:szCs w:val="22"/>
        </w:rPr>
      </w:pPr>
    </w:p>
    <w:p w:rsidR="000000B9" w:rsidRPr="00CA5834" w:rsidRDefault="000000B9" w:rsidP="000000B9">
      <w:pPr>
        <w:autoSpaceDE w:val="0"/>
        <w:autoSpaceDN w:val="0"/>
        <w:adjustRightInd w:val="0"/>
        <w:rPr>
          <w:rFonts w:cs="Arial"/>
          <w:color w:val="000000"/>
          <w:sz w:val="22"/>
          <w:szCs w:val="22"/>
        </w:rPr>
      </w:pPr>
      <w:r w:rsidRPr="00CA5834">
        <w:rPr>
          <w:rFonts w:cs="Arial"/>
          <w:color w:val="000000"/>
          <w:sz w:val="22"/>
          <w:szCs w:val="22"/>
        </w:rPr>
        <w:t>The Fund has a longstanding policy of supporting good corporate governance in the companies in which it invests, and challenging companies who do not meet the standards or reasonable expectations set by their peers.</w:t>
      </w:r>
    </w:p>
    <w:p w:rsidR="001E43FE" w:rsidRPr="00CA5834" w:rsidRDefault="001E43FE" w:rsidP="000000B9">
      <w:pPr>
        <w:autoSpaceDE w:val="0"/>
        <w:autoSpaceDN w:val="0"/>
        <w:adjustRightInd w:val="0"/>
        <w:rPr>
          <w:rFonts w:cs="Arial"/>
          <w:color w:val="000000"/>
          <w:sz w:val="22"/>
          <w:szCs w:val="22"/>
        </w:rPr>
      </w:pPr>
    </w:p>
    <w:p w:rsidR="003C3253" w:rsidRDefault="000000B9" w:rsidP="000000B9">
      <w:pPr>
        <w:rPr>
          <w:rFonts w:cs="Arial"/>
          <w:color w:val="000000"/>
          <w:sz w:val="22"/>
          <w:szCs w:val="22"/>
        </w:rPr>
      </w:pPr>
      <w:r w:rsidRPr="00CA5834">
        <w:rPr>
          <w:rFonts w:cs="Arial"/>
          <w:color w:val="000000"/>
          <w:sz w:val="22"/>
          <w:szCs w:val="22"/>
        </w:rPr>
        <w:t xml:space="preserve">In order to fulfil this responsibility, </w:t>
      </w:r>
      <w:r w:rsidR="00CF4B31">
        <w:rPr>
          <w:rFonts w:cs="Arial"/>
          <w:color w:val="000000"/>
          <w:sz w:val="22"/>
          <w:szCs w:val="22"/>
        </w:rPr>
        <w:t>t</w:t>
      </w:r>
      <w:r w:rsidRPr="00CA5834">
        <w:rPr>
          <w:rFonts w:cs="Arial"/>
          <w:color w:val="000000"/>
          <w:sz w:val="22"/>
          <w:szCs w:val="22"/>
        </w:rPr>
        <w:t>he Fund communicates with companies and exercises the rights (including the voting rights) attaching to investments in support of its corporate governance policies. The Fund’s voting rights are an asset and will be used to further the long-term interests of the Fund</w:t>
      </w:r>
      <w:r w:rsidR="00CF4B31">
        <w:rPr>
          <w:rFonts w:cs="Arial"/>
          <w:color w:val="000000"/>
          <w:sz w:val="22"/>
          <w:szCs w:val="22"/>
        </w:rPr>
        <w:t>'s</w:t>
      </w:r>
      <w:r w:rsidRPr="00CA5834">
        <w:rPr>
          <w:rFonts w:cs="Arial"/>
          <w:color w:val="000000"/>
          <w:sz w:val="22"/>
          <w:szCs w:val="22"/>
        </w:rPr>
        <w:t xml:space="preserve"> beneficiaries. As a general principle, votes will be used to protect shareholder rights, to minimise risk to companies from corporate governance failure, to enhance long-term value and to encourage corporate social responsibility.</w:t>
      </w:r>
    </w:p>
    <w:p w:rsidR="003C3253" w:rsidRDefault="003C3253" w:rsidP="000000B9">
      <w:pPr>
        <w:rPr>
          <w:rFonts w:cs="Arial"/>
          <w:color w:val="000000"/>
          <w:sz w:val="22"/>
          <w:szCs w:val="22"/>
        </w:rPr>
      </w:pPr>
    </w:p>
    <w:p w:rsidR="000000B9" w:rsidRPr="00C4528A" w:rsidRDefault="003C3253" w:rsidP="000000B9">
      <w:pPr>
        <w:rPr>
          <w:rFonts w:cs="Arial"/>
          <w:color w:val="000000"/>
          <w:sz w:val="22"/>
          <w:szCs w:val="22"/>
        </w:rPr>
      </w:pPr>
      <w:r>
        <w:rPr>
          <w:rFonts w:cs="Arial"/>
          <w:color w:val="000000"/>
          <w:sz w:val="22"/>
          <w:szCs w:val="22"/>
        </w:rPr>
        <w:t>The Fund may utilise some or all of the following tools: writing to company management; special meetings with companies; questions and discussions with companies at routine meetings and AGMs; joining in or supporting campaigning or pressure groups; issuing public statements/ briefings; and proxy voting.</w:t>
      </w:r>
    </w:p>
    <w:p w:rsidR="000000B9" w:rsidRPr="00CA5834" w:rsidRDefault="000000B9" w:rsidP="000000B9">
      <w:pPr>
        <w:autoSpaceDE w:val="0"/>
        <w:autoSpaceDN w:val="0"/>
        <w:adjustRightInd w:val="0"/>
        <w:rPr>
          <w:rFonts w:cs="Arial"/>
          <w:color w:val="000000"/>
          <w:sz w:val="22"/>
          <w:szCs w:val="22"/>
        </w:rPr>
      </w:pPr>
    </w:p>
    <w:p w:rsidR="001E43FE" w:rsidRDefault="001E43FE" w:rsidP="000000B9">
      <w:pPr>
        <w:autoSpaceDE w:val="0"/>
        <w:autoSpaceDN w:val="0"/>
        <w:adjustRightInd w:val="0"/>
        <w:rPr>
          <w:rFonts w:cs="Arial"/>
          <w:color w:val="000000"/>
          <w:sz w:val="22"/>
          <w:szCs w:val="22"/>
        </w:rPr>
      </w:pPr>
    </w:p>
    <w:p w:rsidR="00077261" w:rsidRDefault="00077261" w:rsidP="000000B9">
      <w:pPr>
        <w:autoSpaceDE w:val="0"/>
        <w:autoSpaceDN w:val="0"/>
        <w:adjustRightInd w:val="0"/>
        <w:rPr>
          <w:rFonts w:cs="Arial"/>
          <w:color w:val="000000"/>
          <w:sz w:val="22"/>
          <w:szCs w:val="22"/>
        </w:rPr>
      </w:pPr>
    </w:p>
    <w:p w:rsidR="001E43FE" w:rsidRPr="001E43FE" w:rsidRDefault="001E43FE" w:rsidP="000000B9">
      <w:pPr>
        <w:autoSpaceDE w:val="0"/>
        <w:autoSpaceDN w:val="0"/>
        <w:adjustRightInd w:val="0"/>
        <w:rPr>
          <w:rFonts w:cs="Arial"/>
          <w:b/>
          <w:color w:val="000000"/>
          <w:sz w:val="22"/>
          <w:szCs w:val="22"/>
        </w:rPr>
      </w:pPr>
      <w:r w:rsidRPr="001E43FE">
        <w:rPr>
          <w:rFonts w:cs="Arial"/>
          <w:b/>
          <w:color w:val="000000"/>
          <w:sz w:val="22"/>
          <w:szCs w:val="22"/>
        </w:rPr>
        <w:t>Responsible Investment</w:t>
      </w:r>
    </w:p>
    <w:p w:rsidR="001E43FE" w:rsidRDefault="001E43FE" w:rsidP="000000B9">
      <w:pPr>
        <w:autoSpaceDE w:val="0"/>
        <w:autoSpaceDN w:val="0"/>
        <w:adjustRightInd w:val="0"/>
        <w:rPr>
          <w:rFonts w:cs="Arial"/>
          <w:color w:val="000000"/>
          <w:sz w:val="22"/>
          <w:szCs w:val="22"/>
        </w:rPr>
      </w:pPr>
    </w:p>
    <w:p w:rsidR="00E408C2" w:rsidRPr="003A7174" w:rsidRDefault="00E408C2" w:rsidP="00E408C2">
      <w:pPr>
        <w:autoSpaceDE w:val="0"/>
        <w:autoSpaceDN w:val="0"/>
        <w:adjustRightInd w:val="0"/>
        <w:rPr>
          <w:rFonts w:cs="Arial"/>
          <w:color w:val="000000"/>
          <w:sz w:val="22"/>
          <w:szCs w:val="22"/>
        </w:rPr>
      </w:pPr>
      <w:r w:rsidRPr="00E408C2">
        <w:rPr>
          <w:rFonts w:cs="Arial"/>
          <w:color w:val="000000"/>
          <w:sz w:val="22"/>
          <w:szCs w:val="22"/>
        </w:rPr>
        <w:t>Responsible Investment is an investment approach in which investors recognise the importance of the long-term health and stability of the market as a whole; seeking to incorporate material extra-financial factors alongside other financial performance and strategic assessments within investment decisions; and utilise ownership rights and responsibilities attached to assets to protect and enhance shareholder value over the long term – primarily through voting and engagement.</w:t>
      </w:r>
      <w:r w:rsidR="003A7174">
        <w:rPr>
          <w:rFonts w:cs="Arial"/>
          <w:color w:val="000000"/>
          <w:sz w:val="22"/>
          <w:szCs w:val="22"/>
        </w:rPr>
        <w:t xml:space="preserve"> </w:t>
      </w:r>
      <w:r w:rsidRPr="003A7174">
        <w:rPr>
          <w:rFonts w:cs="Arial"/>
          <w:color w:val="000000"/>
          <w:sz w:val="22"/>
          <w:szCs w:val="22"/>
        </w:rPr>
        <w:t>The objective of responsible investment is decreasing investor risk and improving risk-adjusted returns.</w:t>
      </w:r>
    </w:p>
    <w:p w:rsidR="000000B9" w:rsidRDefault="000000B9" w:rsidP="000000B9">
      <w:pPr>
        <w:autoSpaceDE w:val="0"/>
        <w:autoSpaceDN w:val="0"/>
        <w:adjustRightInd w:val="0"/>
        <w:rPr>
          <w:rFonts w:cs="Arial"/>
          <w:color w:val="000000"/>
          <w:sz w:val="22"/>
          <w:szCs w:val="22"/>
        </w:rPr>
      </w:pPr>
    </w:p>
    <w:p w:rsidR="0076763B" w:rsidRDefault="00B92528" w:rsidP="000000B9">
      <w:pPr>
        <w:autoSpaceDE w:val="0"/>
        <w:autoSpaceDN w:val="0"/>
        <w:adjustRightInd w:val="0"/>
        <w:rPr>
          <w:rFonts w:cs="Arial"/>
          <w:color w:val="000000"/>
          <w:sz w:val="22"/>
          <w:szCs w:val="22"/>
        </w:rPr>
      </w:pPr>
      <w:r>
        <w:rPr>
          <w:rFonts w:cs="Arial"/>
          <w:color w:val="000000"/>
          <w:sz w:val="22"/>
          <w:szCs w:val="22"/>
        </w:rPr>
        <w:t>Examples of potentially material risks to be considered as part of the Fund's voting and engagement activity are set out below:</w:t>
      </w:r>
    </w:p>
    <w:p w:rsidR="0076763B" w:rsidRDefault="0076763B" w:rsidP="000000B9">
      <w:pPr>
        <w:autoSpaceDE w:val="0"/>
        <w:autoSpaceDN w:val="0"/>
        <w:adjustRightInd w:val="0"/>
        <w:rPr>
          <w:rFonts w:cs="Arial"/>
          <w:color w:val="000000"/>
          <w:sz w:val="22"/>
          <w:szCs w:val="22"/>
        </w:rPr>
      </w:pPr>
    </w:p>
    <w:p w:rsidR="0076763B" w:rsidRPr="0009646E" w:rsidRDefault="00077261" w:rsidP="000000B9">
      <w:pPr>
        <w:autoSpaceDE w:val="0"/>
        <w:autoSpaceDN w:val="0"/>
        <w:adjustRightInd w:val="0"/>
        <w:rPr>
          <w:rFonts w:cs="Arial"/>
          <w:i/>
          <w:color w:val="000000"/>
          <w:sz w:val="22"/>
          <w:szCs w:val="22"/>
        </w:rPr>
      </w:pPr>
      <w:r w:rsidRPr="0009646E">
        <w:rPr>
          <w:rFonts w:cs="Arial"/>
          <w:i/>
          <w:color w:val="000000"/>
          <w:sz w:val="22"/>
          <w:szCs w:val="22"/>
        </w:rPr>
        <w:t>Governance risks:</w:t>
      </w:r>
    </w:p>
    <w:p w:rsidR="00077261" w:rsidRDefault="00077261" w:rsidP="00077261">
      <w:pPr>
        <w:pStyle w:val="ListParagraph"/>
        <w:numPr>
          <w:ilvl w:val="0"/>
          <w:numId w:val="30"/>
        </w:numPr>
        <w:autoSpaceDE w:val="0"/>
        <w:autoSpaceDN w:val="0"/>
        <w:adjustRightInd w:val="0"/>
        <w:rPr>
          <w:rFonts w:cs="Arial"/>
          <w:color w:val="000000"/>
          <w:sz w:val="22"/>
          <w:szCs w:val="22"/>
        </w:rPr>
      </w:pPr>
      <w:r>
        <w:rPr>
          <w:rFonts w:cs="Arial"/>
          <w:color w:val="000000"/>
          <w:sz w:val="22"/>
          <w:szCs w:val="22"/>
        </w:rPr>
        <w:t xml:space="preserve">Board independence – Non-Executive Directors play a </w:t>
      </w:r>
      <w:r w:rsidR="00B64062">
        <w:rPr>
          <w:rFonts w:cs="Arial"/>
          <w:color w:val="000000"/>
          <w:sz w:val="22"/>
          <w:szCs w:val="22"/>
        </w:rPr>
        <w:t xml:space="preserve">vital </w:t>
      </w:r>
      <w:r>
        <w:rPr>
          <w:rFonts w:cs="Arial"/>
          <w:color w:val="000000"/>
          <w:sz w:val="22"/>
          <w:szCs w:val="22"/>
        </w:rPr>
        <w:t>role in overseeing the executive management and safeguarding the interests of shareholders;</w:t>
      </w:r>
    </w:p>
    <w:p w:rsidR="00077261" w:rsidRDefault="00077261" w:rsidP="00077261">
      <w:pPr>
        <w:pStyle w:val="ListParagraph"/>
        <w:numPr>
          <w:ilvl w:val="0"/>
          <w:numId w:val="30"/>
        </w:numPr>
        <w:autoSpaceDE w:val="0"/>
        <w:autoSpaceDN w:val="0"/>
        <w:adjustRightInd w:val="0"/>
        <w:rPr>
          <w:rFonts w:cs="Arial"/>
          <w:color w:val="000000"/>
          <w:sz w:val="22"/>
          <w:szCs w:val="22"/>
        </w:rPr>
      </w:pPr>
      <w:r>
        <w:rPr>
          <w:rFonts w:cs="Arial"/>
          <w:color w:val="000000"/>
          <w:sz w:val="22"/>
          <w:szCs w:val="22"/>
        </w:rPr>
        <w:t>Succession planning – An ineffective policy can have implications for a company's performance, including uncertainty over its sustainability;</w:t>
      </w:r>
    </w:p>
    <w:p w:rsidR="00077261" w:rsidRDefault="00077261" w:rsidP="00077261">
      <w:pPr>
        <w:pStyle w:val="ListParagraph"/>
        <w:numPr>
          <w:ilvl w:val="0"/>
          <w:numId w:val="30"/>
        </w:numPr>
        <w:autoSpaceDE w:val="0"/>
        <w:autoSpaceDN w:val="0"/>
        <w:adjustRightInd w:val="0"/>
        <w:rPr>
          <w:rFonts w:cs="Arial"/>
          <w:color w:val="000000"/>
          <w:sz w:val="22"/>
          <w:szCs w:val="22"/>
        </w:rPr>
      </w:pPr>
      <w:r>
        <w:rPr>
          <w:rFonts w:cs="Arial"/>
          <w:color w:val="000000"/>
          <w:sz w:val="22"/>
          <w:szCs w:val="22"/>
        </w:rPr>
        <w:t>Board diversity – Research suggests that shareholders, companies and boards are not best served by an overly homogenous board prone to group think;</w:t>
      </w:r>
    </w:p>
    <w:p w:rsidR="00077261" w:rsidRDefault="00077261" w:rsidP="00077261">
      <w:pPr>
        <w:pStyle w:val="ListParagraph"/>
        <w:numPr>
          <w:ilvl w:val="0"/>
          <w:numId w:val="30"/>
        </w:numPr>
        <w:autoSpaceDE w:val="0"/>
        <w:autoSpaceDN w:val="0"/>
        <w:adjustRightInd w:val="0"/>
        <w:rPr>
          <w:rFonts w:cs="Arial"/>
          <w:color w:val="000000"/>
          <w:sz w:val="22"/>
          <w:szCs w:val="22"/>
        </w:rPr>
      </w:pPr>
      <w:r>
        <w:rPr>
          <w:rFonts w:cs="Arial"/>
          <w:color w:val="000000"/>
          <w:sz w:val="22"/>
          <w:szCs w:val="22"/>
        </w:rPr>
        <w:t>Auditors – The independence of auditors plays a crucial role in protecting shareholders.</w:t>
      </w:r>
    </w:p>
    <w:p w:rsidR="00077261" w:rsidRDefault="00077261" w:rsidP="00077261">
      <w:pPr>
        <w:autoSpaceDE w:val="0"/>
        <w:autoSpaceDN w:val="0"/>
        <w:adjustRightInd w:val="0"/>
        <w:rPr>
          <w:rFonts w:cs="Arial"/>
          <w:color w:val="000000"/>
          <w:sz w:val="22"/>
          <w:szCs w:val="22"/>
        </w:rPr>
      </w:pPr>
    </w:p>
    <w:p w:rsidR="00077261" w:rsidRPr="0009646E" w:rsidRDefault="00077261" w:rsidP="00077261">
      <w:pPr>
        <w:autoSpaceDE w:val="0"/>
        <w:autoSpaceDN w:val="0"/>
        <w:adjustRightInd w:val="0"/>
        <w:rPr>
          <w:rFonts w:cs="Arial"/>
          <w:i/>
          <w:color w:val="000000"/>
          <w:sz w:val="22"/>
          <w:szCs w:val="22"/>
        </w:rPr>
      </w:pPr>
      <w:r w:rsidRPr="0009646E">
        <w:rPr>
          <w:rFonts w:cs="Arial"/>
          <w:i/>
          <w:color w:val="000000"/>
          <w:sz w:val="22"/>
          <w:szCs w:val="22"/>
        </w:rPr>
        <w:lastRenderedPageBreak/>
        <w:t>Environmental risks:</w:t>
      </w:r>
    </w:p>
    <w:p w:rsidR="00077261" w:rsidRDefault="00077261" w:rsidP="00077261">
      <w:pPr>
        <w:pStyle w:val="ListParagraph"/>
        <w:numPr>
          <w:ilvl w:val="0"/>
          <w:numId w:val="31"/>
        </w:numPr>
        <w:autoSpaceDE w:val="0"/>
        <w:autoSpaceDN w:val="0"/>
        <w:adjustRightInd w:val="0"/>
        <w:rPr>
          <w:rFonts w:cs="Arial"/>
          <w:color w:val="000000"/>
          <w:sz w:val="22"/>
          <w:szCs w:val="22"/>
        </w:rPr>
      </w:pPr>
      <w:r>
        <w:rPr>
          <w:rFonts w:cs="Arial"/>
          <w:color w:val="000000"/>
          <w:sz w:val="22"/>
          <w:szCs w:val="22"/>
        </w:rPr>
        <w:t>High intensity industries will incur additional financial costs from carbon regulations in different jurisdictions. Changes in climate will affect company supply chains and fixed assets;</w:t>
      </w:r>
    </w:p>
    <w:p w:rsidR="00077261" w:rsidRDefault="00077261" w:rsidP="00077261">
      <w:pPr>
        <w:pStyle w:val="ListParagraph"/>
        <w:numPr>
          <w:ilvl w:val="0"/>
          <w:numId w:val="31"/>
        </w:numPr>
        <w:autoSpaceDE w:val="0"/>
        <w:autoSpaceDN w:val="0"/>
        <w:adjustRightInd w:val="0"/>
        <w:rPr>
          <w:rFonts w:cs="Arial"/>
          <w:color w:val="000000"/>
          <w:sz w:val="22"/>
          <w:szCs w:val="22"/>
        </w:rPr>
      </w:pPr>
      <w:r>
        <w:rPr>
          <w:rFonts w:cs="Arial"/>
          <w:color w:val="000000"/>
          <w:sz w:val="22"/>
          <w:szCs w:val="22"/>
        </w:rPr>
        <w:t>Energy use – Through effective management of energy use, companies are able to reduce energy costs as well as build security of supply;</w:t>
      </w:r>
    </w:p>
    <w:p w:rsidR="00077261" w:rsidRDefault="00077261" w:rsidP="00077261">
      <w:pPr>
        <w:pStyle w:val="ListParagraph"/>
        <w:numPr>
          <w:ilvl w:val="0"/>
          <w:numId w:val="31"/>
        </w:numPr>
        <w:autoSpaceDE w:val="0"/>
        <w:autoSpaceDN w:val="0"/>
        <w:adjustRightInd w:val="0"/>
        <w:rPr>
          <w:rFonts w:cs="Arial"/>
          <w:color w:val="000000"/>
          <w:sz w:val="22"/>
          <w:szCs w:val="22"/>
        </w:rPr>
      </w:pPr>
      <w:r>
        <w:rPr>
          <w:rFonts w:cs="Arial"/>
          <w:color w:val="000000"/>
          <w:sz w:val="22"/>
          <w:szCs w:val="22"/>
        </w:rPr>
        <w:t>Natural resources – Demand for raw materials is ever increasing, this has implications including increasing regulation around sourcing and use of resources;</w:t>
      </w:r>
    </w:p>
    <w:p w:rsidR="00077261" w:rsidRDefault="00077261" w:rsidP="00077261">
      <w:pPr>
        <w:pStyle w:val="ListParagraph"/>
        <w:numPr>
          <w:ilvl w:val="0"/>
          <w:numId w:val="31"/>
        </w:numPr>
        <w:autoSpaceDE w:val="0"/>
        <w:autoSpaceDN w:val="0"/>
        <w:adjustRightInd w:val="0"/>
        <w:rPr>
          <w:rFonts w:cs="Arial"/>
          <w:color w:val="000000"/>
          <w:sz w:val="22"/>
          <w:szCs w:val="22"/>
        </w:rPr>
      </w:pPr>
      <w:r>
        <w:rPr>
          <w:rFonts w:cs="Arial"/>
          <w:color w:val="000000"/>
          <w:sz w:val="22"/>
          <w:szCs w:val="22"/>
        </w:rPr>
        <w:t>Water – A growing global population is leading to rising consumption – this in turn increases costs and creates tensions or conflicts.</w:t>
      </w:r>
    </w:p>
    <w:p w:rsidR="00077261" w:rsidRDefault="00077261" w:rsidP="00077261">
      <w:pPr>
        <w:autoSpaceDE w:val="0"/>
        <w:autoSpaceDN w:val="0"/>
        <w:adjustRightInd w:val="0"/>
        <w:rPr>
          <w:rFonts w:cs="Arial"/>
          <w:color w:val="000000"/>
          <w:sz w:val="22"/>
          <w:szCs w:val="22"/>
        </w:rPr>
      </w:pPr>
    </w:p>
    <w:p w:rsidR="00077261" w:rsidRPr="0009646E" w:rsidRDefault="00077261" w:rsidP="00077261">
      <w:pPr>
        <w:autoSpaceDE w:val="0"/>
        <w:autoSpaceDN w:val="0"/>
        <w:adjustRightInd w:val="0"/>
        <w:rPr>
          <w:rFonts w:cs="Arial"/>
          <w:i/>
          <w:color w:val="000000"/>
          <w:sz w:val="22"/>
          <w:szCs w:val="22"/>
        </w:rPr>
      </w:pPr>
      <w:r w:rsidRPr="0009646E">
        <w:rPr>
          <w:rFonts w:cs="Arial"/>
          <w:i/>
          <w:color w:val="000000"/>
          <w:sz w:val="22"/>
          <w:szCs w:val="22"/>
        </w:rPr>
        <w:t>Social risks:</w:t>
      </w:r>
    </w:p>
    <w:p w:rsidR="00077261" w:rsidRDefault="00077261" w:rsidP="00077261">
      <w:pPr>
        <w:pStyle w:val="ListParagraph"/>
        <w:numPr>
          <w:ilvl w:val="0"/>
          <w:numId w:val="32"/>
        </w:numPr>
        <w:autoSpaceDE w:val="0"/>
        <w:autoSpaceDN w:val="0"/>
        <w:adjustRightInd w:val="0"/>
        <w:rPr>
          <w:rFonts w:cs="Arial"/>
          <w:color w:val="000000"/>
          <w:sz w:val="22"/>
          <w:szCs w:val="22"/>
        </w:rPr>
      </w:pPr>
      <w:r>
        <w:rPr>
          <w:rFonts w:cs="Arial"/>
          <w:color w:val="000000"/>
          <w:sz w:val="22"/>
          <w:szCs w:val="22"/>
        </w:rPr>
        <w:t>Human rights – Companies operating in companies with poor human rights records may face significant challenges, such as legal challenges or reputational damage;</w:t>
      </w:r>
    </w:p>
    <w:p w:rsidR="00077261" w:rsidRDefault="00077261" w:rsidP="00077261">
      <w:pPr>
        <w:pStyle w:val="ListParagraph"/>
        <w:numPr>
          <w:ilvl w:val="0"/>
          <w:numId w:val="32"/>
        </w:numPr>
        <w:autoSpaceDE w:val="0"/>
        <w:autoSpaceDN w:val="0"/>
        <w:adjustRightInd w:val="0"/>
        <w:rPr>
          <w:rFonts w:cs="Arial"/>
          <w:color w:val="000000"/>
          <w:sz w:val="22"/>
          <w:szCs w:val="22"/>
        </w:rPr>
      </w:pPr>
      <w:r>
        <w:rPr>
          <w:rFonts w:cs="Arial"/>
          <w:color w:val="000000"/>
          <w:sz w:val="22"/>
          <w:szCs w:val="22"/>
        </w:rPr>
        <w:t>Employment – Research indicates that well managed employee relations improve worker productivity and effectiveness in turn benefitting shareholders;</w:t>
      </w:r>
    </w:p>
    <w:p w:rsidR="00077261" w:rsidRDefault="00077261" w:rsidP="00077261">
      <w:pPr>
        <w:pStyle w:val="ListParagraph"/>
        <w:numPr>
          <w:ilvl w:val="0"/>
          <w:numId w:val="32"/>
        </w:numPr>
        <w:autoSpaceDE w:val="0"/>
        <w:autoSpaceDN w:val="0"/>
        <w:adjustRightInd w:val="0"/>
        <w:rPr>
          <w:rFonts w:cs="Arial"/>
          <w:color w:val="000000"/>
          <w:sz w:val="22"/>
          <w:szCs w:val="22"/>
        </w:rPr>
      </w:pPr>
      <w:r>
        <w:rPr>
          <w:rFonts w:cs="Arial"/>
          <w:color w:val="000000"/>
          <w:sz w:val="22"/>
          <w:szCs w:val="22"/>
        </w:rPr>
        <w:t>Health and safety – Companies with poor health and safety records may face prosecutions, fines and in extreme cases, the withdrawal of licences to operate;</w:t>
      </w:r>
    </w:p>
    <w:p w:rsidR="00077261" w:rsidRPr="00077261" w:rsidRDefault="00077261" w:rsidP="00077261">
      <w:pPr>
        <w:pStyle w:val="ListParagraph"/>
        <w:numPr>
          <w:ilvl w:val="0"/>
          <w:numId w:val="32"/>
        </w:numPr>
        <w:autoSpaceDE w:val="0"/>
        <w:autoSpaceDN w:val="0"/>
        <w:adjustRightInd w:val="0"/>
        <w:rPr>
          <w:rFonts w:cs="Arial"/>
          <w:color w:val="000000"/>
          <w:sz w:val="22"/>
          <w:szCs w:val="22"/>
        </w:rPr>
      </w:pPr>
      <w:r>
        <w:rPr>
          <w:rFonts w:cs="Arial"/>
          <w:color w:val="000000"/>
          <w:sz w:val="22"/>
          <w:szCs w:val="22"/>
        </w:rPr>
        <w:t>Supply chain – Companies are increasingly reliant on a large, global workforce, exposing them to increased risks of disruptions.</w:t>
      </w:r>
    </w:p>
    <w:p w:rsidR="00077261" w:rsidRDefault="00077261" w:rsidP="00077261">
      <w:pPr>
        <w:autoSpaceDE w:val="0"/>
        <w:autoSpaceDN w:val="0"/>
        <w:adjustRightInd w:val="0"/>
        <w:rPr>
          <w:rFonts w:cs="Arial"/>
          <w:color w:val="000000"/>
          <w:sz w:val="22"/>
          <w:szCs w:val="22"/>
        </w:rPr>
      </w:pPr>
    </w:p>
    <w:p w:rsidR="000000B9" w:rsidRDefault="003A7174" w:rsidP="000000B9">
      <w:pPr>
        <w:autoSpaceDE w:val="0"/>
        <w:autoSpaceDN w:val="0"/>
        <w:adjustRightInd w:val="0"/>
        <w:rPr>
          <w:rFonts w:cs="Arial"/>
          <w:color w:val="000000"/>
          <w:sz w:val="22"/>
          <w:szCs w:val="22"/>
        </w:rPr>
      </w:pPr>
      <w:r>
        <w:rPr>
          <w:rFonts w:cs="Arial"/>
          <w:color w:val="000000"/>
          <w:sz w:val="22"/>
          <w:szCs w:val="22"/>
        </w:rPr>
        <w:t xml:space="preserve">Implementing a responsible investment policy helps a pension fund to adhere to the UK Stewardship Code. </w:t>
      </w:r>
      <w:r w:rsidR="000000B9" w:rsidRPr="00CA5834">
        <w:rPr>
          <w:rFonts w:cs="Arial"/>
          <w:color w:val="000000"/>
          <w:sz w:val="22"/>
          <w:szCs w:val="22"/>
        </w:rPr>
        <w:t xml:space="preserve">The Fund’s </w:t>
      </w:r>
      <w:r>
        <w:rPr>
          <w:rFonts w:cs="Arial"/>
          <w:color w:val="000000"/>
          <w:sz w:val="22"/>
          <w:szCs w:val="22"/>
        </w:rPr>
        <w:t xml:space="preserve">current </w:t>
      </w:r>
      <w:r w:rsidR="000000B9" w:rsidRPr="00CA5834">
        <w:rPr>
          <w:rFonts w:cs="Arial"/>
          <w:color w:val="000000"/>
          <w:sz w:val="22"/>
          <w:szCs w:val="22"/>
        </w:rPr>
        <w:t>position</w:t>
      </w:r>
      <w:r w:rsidR="000000B9">
        <w:rPr>
          <w:rFonts w:cs="Arial"/>
          <w:color w:val="000000"/>
          <w:sz w:val="22"/>
          <w:szCs w:val="22"/>
        </w:rPr>
        <w:t xml:space="preserve"> </w:t>
      </w:r>
      <w:r w:rsidR="000000B9" w:rsidRPr="00CA5834">
        <w:rPr>
          <w:rFonts w:cs="Arial"/>
          <w:color w:val="000000"/>
          <w:sz w:val="22"/>
          <w:szCs w:val="22"/>
        </w:rPr>
        <w:t>relating to the UK Stewardship Code can be found in</w:t>
      </w:r>
      <w:r w:rsidR="000000B9">
        <w:rPr>
          <w:rFonts w:cs="Arial"/>
          <w:color w:val="000000"/>
          <w:sz w:val="22"/>
          <w:szCs w:val="22"/>
        </w:rPr>
        <w:t xml:space="preserve"> </w:t>
      </w:r>
      <w:r w:rsidR="000000B9" w:rsidRPr="00CA5834">
        <w:rPr>
          <w:rFonts w:cs="Arial"/>
          <w:color w:val="000000"/>
          <w:sz w:val="22"/>
          <w:szCs w:val="22"/>
        </w:rPr>
        <w:t xml:space="preserve">a separate statement on </w:t>
      </w:r>
      <w:r w:rsidR="00CF4B31">
        <w:rPr>
          <w:rFonts w:cs="Arial"/>
          <w:color w:val="000000"/>
          <w:sz w:val="22"/>
          <w:szCs w:val="22"/>
        </w:rPr>
        <w:t>its</w:t>
      </w:r>
      <w:r w:rsidR="000000B9" w:rsidRPr="00CA5834">
        <w:rPr>
          <w:rFonts w:cs="Arial"/>
          <w:color w:val="000000"/>
          <w:sz w:val="22"/>
          <w:szCs w:val="22"/>
        </w:rPr>
        <w:t xml:space="preserve"> website.</w:t>
      </w:r>
    </w:p>
    <w:p w:rsidR="000000B9" w:rsidRPr="00CA5834" w:rsidRDefault="000000B9" w:rsidP="000000B9">
      <w:pPr>
        <w:autoSpaceDE w:val="0"/>
        <w:autoSpaceDN w:val="0"/>
        <w:adjustRightInd w:val="0"/>
        <w:rPr>
          <w:rFonts w:cs="Arial"/>
          <w:color w:val="000000"/>
          <w:sz w:val="22"/>
          <w:szCs w:val="22"/>
        </w:rPr>
      </w:pPr>
    </w:p>
    <w:p w:rsidR="000000B9" w:rsidRPr="00CA5834" w:rsidRDefault="000000B9" w:rsidP="000000B9">
      <w:pPr>
        <w:autoSpaceDE w:val="0"/>
        <w:autoSpaceDN w:val="0"/>
        <w:adjustRightInd w:val="0"/>
        <w:rPr>
          <w:rFonts w:cs="Arial"/>
          <w:color w:val="000000"/>
          <w:sz w:val="22"/>
          <w:szCs w:val="22"/>
        </w:rPr>
      </w:pPr>
      <w:r w:rsidRPr="00CA5834">
        <w:rPr>
          <w:rFonts w:cs="Arial"/>
          <w:color w:val="000000"/>
          <w:sz w:val="22"/>
          <w:szCs w:val="22"/>
        </w:rPr>
        <w:t>Lack of good governance interferes with a company’s</w:t>
      </w:r>
      <w:r>
        <w:rPr>
          <w:rFonts w:cs="Arial"/>
          <w:color w:val="000000"/>
          <w:sz w:val="22"/>
          <w:szCs w:val="22"/>
        </w:rPr>
        <w:t xml:space="preserve"> </w:t>
      </w:r>
      <w:r w:rsidRPr="00CA5834">
        <w:rPr>
          <w:rFonts w:cs="Arial"/>
          <w:color w:val="000000"/>
          <w:sz w:val="22"/>
          <w:szCs w:val="22"/>
        </w:rPr>
        <w:t>ability to function effectively and is a threat to the</w:t>
      </w:r>
      <w:r>
        <w:rPr>
          <w:rFonts w:cs="Arial"/>
          <w:color w:val="000000"/>
          <w:sz w:val="22"/>
          <w:szCs w:val="22"/>
        </w:rPr>
        <w:t xml:space="preserve"> </w:t>
      </w:r>
      <w:r w:rsidRPr="00CA5834">
        <w:rPr>
          <w:rFonts w:cs="Arial"/>
          <w:color w:val="000000"/>
          <w:sz w:val="22"/>
          <w:szCs w:val="22"/>
        </w:rPr>
        <w:t>Fund’s financial interest in that company.</w:t>
      </w:r>
    </w:p>
    <w:p w:rsidR="000000B9" w:rsidRDefault="000000B9" w:rsidP="000000B9">
      <w:pPr>
        <w:autoSpaceDE w:val="0"/>
        <w:autoSpaceDN w:val="0"/>
        <w:adjustRightInd w:val="0"/>
        <w:rPr>
          <w:rFonts w:cs="Arial"/>
          <w:color w:val="000000"/>
          <w:sz w:val="22"/>
          <w:szCs w:val="22"/>
        </w:rPr>
      </w:pPr>
    </w:p>
    <w:p w:rsidR="000000B9" w:rsidRPr="00CA5834" w:rsidRDefault="001E43FE" w:rsidP="000000B9">
      <w:pPr>
        <w:autoSpaceDE w:val="0"/>
        <w:autoSpaceDN w:val="0"/>
        <w:adjustRightInd w:val="0"/>
        <w:rPr>
          <w:rFonts w:cs="Arial"/>
          <w:b/>
          <w:color w:val="000000"/>
          <w:sz w:val="22"/>
          <w:szCs w:val="22"/>
        </w:rPr>
      </w:pPr>
      <w:r>
        <w:rPr>
          <w:rFonts w:cs="Arial"/>
          <w:b/>
          <w:color w:val="000000"/>
          <w:sz w:val="22"/>
          <w:szCs w:val="22"/>
        </w:rPr>
        <w:t>The Fund's a</w:t>
      </w:r>
      <w:r w:rsidR="000000B9" w:rsidRPr="00CA5834">
        <w:rPr>
          <w:rFonts w:cs="Arial"/>
          <w:b/>
          <w:color w:val="000000"/>
          <w:sz w:val="22"/>
          <w:szCs w:val="22"/>
        </w:rPr>
        <w:t xml:space="preserve">pproach to </w:t>
      </w:r>
      <w:r w:rsidR="00C62AC3">
        <w:rPr>
          <w:rFonts w:cs="Arial"/>
          <w:b/>
          <w:color w:val="000000"/>
          <w:sz w:val="22"/>
          <w:szCs w:val="22"/>
        </w:rPr>
        <w:t>responsible investment</w:t>
      </w:r>
    </w:p>
    <w:p w:rsidR="000000B9" w:rsidRDefault="000000B9" w:rsidP="000000B9">
      <w:pPr>
        <w:autoSpaceDE w:val="0"/>
        <w:autoSpaceDN w:val="0"/>
        <w:adjustRightInd w:val="0"/>
        <w:rPr>
          <w:rFonts w:cs="Arial"/>
          <w:color w:val="000000"/>
          <w:sz w:val="22"/>
          <w:szCs w:val="22"/>
        </w:rPr>
      </w:pPr>
    </w:p>
    <w:p w:rsidR="000000B9" w:rsidRPr="00CA5834" w:rsidRDefault="000000B9" w:rsidP="000000B9">
      <w:pPr>
        <w:autoSpaceDE w:val="0"/>
        <w:autoSpaceDN w:val="0"/>
        <w:adjustRightInd w:val="0"/>
        <w:rPr>
          <w:rFonts w:cs="Arial"/>
          <w:color w:val="000000"/>
          <w:sz w:val="22"/>
          <w:szCs w:val="22"/>
        </w:rPr>
      </w:pPr>
      <w:r w:rsidRPr="00CA5834">
        <w:rPr>
          <w:rFonts w:cs="Arial"/>
          <w:color w:val="000000"/>
          <w:sz w:val="22"/>
          <w:szCs w:val="22"/>
        </w:rPr>
        <w:t xml:space="preserve">The Fund’s approach to </w:t>
      </w:r>
      <w:r w:rsidR="00C62AC3">
        <w:rPr>
          <w:rFonts w:cs="Arial"/>
          <w:color w:val="000000"/>
          <w:sz w:val="22"/>
          <w:szCs w:val="22"/>
        </w:rPr>
        <w:t xml:space="preserve">responsible investment </w:t>
      </w:r>
      <w:r w:rsidRPr="00CA5834">
        <w:rPr>
          <w:rFonts w:cs="Arial"/>
          <w:color w:val="000000"/>
          <w:sz w:val="22"/>
          <w:szCs w:val="22"/>
        </w:rPr>
        <w:t>divides into four areas of activity.</w:t>
      </w:r>
    </w:p>
    <w:p w:rsidR="000000B9" w:rsidRDefault="000000B9" w:rsidP="000000B9">
      <w:pPr>
        <w:autoSpaceDE w:val="0"/>
        <w:autoSpaceDN w:val="0"/>
        <w:adjustRightInd w:val="0"/>
        <w:rPr>
          <w:rFonts w:cs="Arial"/>
          <w:color w:val="000000"/>
          <w:sz w:val="22"/>
          <w:szCs w:val="22"/>
        </w:rPr>
      </w:pPr>
    </w:p>
    <w:p w:rsidR="000000B9" w:rsidRPr="00C4528A" w:rsidRDefault="000000B9" w:rsidP="000000B9">
      <w:pPr>
        <w:autoSpaceDE w:val="0"/>
        <w:autoSpaceDN w:val="0"/>
        <w:adjustRightInd w:val="0"/>
        <w:rPr>
          <w:rFonts w:cs="Arial"/>
          <w:i/>
          <w:color w:val="000000"/>
          <w:sz w:val="22"/>
          <w:szCs w:val="22"/>
        </w:rPr>
      </w:pPr>
      <w:r w:rsidRPr="00C4528A">
        <w:rPr>
          <w:rFonts w:cs="Arial"/>
          <w:i/>
          <w:color w:val="000000"/>
          <w:sz w:val="22"/>
          <w:szCs w:val="22"/>
        </w:rPr>
        <w:t>a) Voting Globally</w:t>
      </w:r>
    </w:p>
    <w:p w:rsidR="000000B9" w:rsidRPr="00CA5834" w:rsidRDefault="000000B9" w:rsidP="000000B9">
      <w:pPr>
        <w:autoSpaceDE w:val="0"/>
        <w:autoSpaceDN w:val="0"/>
        <w:adjustRightInd w:val="0"/>
        <w:rPr>
          <w:rFonts w:cs="Arial"/>
          <w:color w:val="000000"/>
          <w:sz w:val="22"/>
          <w:szCs w:val="22"/>
        </w:rPr>
      </w:pPr>
      <w:r w:rsidRPr="00CA5834">
        <w:rPr>
          <w:rFonts w:cs="Arial"/>
          <w:color w:val="000000"/>
          <w:sz w:val="22"/>
          <w:szCs w:val="22"/>
        </w:rPr>
        <w:t>The first approach, voting, is certainly not a ‘</w:t>
      </w:r>
      <w:proofErr w:type="spellStart"/>
      <w:r w:rsidRPr="00CA5834">
        <w:rPr>
          <w:rFonts w:cs="Arial"/>
          <w:color w:val="000000"/>
          <w:sz w:val="22"/>
          <w:szCs w:val="22"/>
        </w:rPr>
        <w:t>boxticking</w:t>
      </w:r>
      <w:proofErr w:type="spellEnd"/>
      <w:r w:rsidRPr="00CA5834">
        <w:rPr>
          <w:rFonts w:cs="Arial"/>
          <w:color w:val="000000"/>
          <w:sz w:val="22"/>
          <w:szCs w:val="22"/>
        </w:rPr>
        <w:t>’</w:t>
      </w:r>
      <w:r>
        <w:rPr>
          <w:rFonts w:cs="Arial"/>
          <w:color w:val="000000"/>
          <w:sz w:val="22"/>
          <w:szCs w:val="22"/>
        </w:rPr>
        <w:t xml:space="preserve"> </w:t>
      </w:r>
      <w:r w:rsidRPr="00CA5834">
        <w:rPr>
          <w:rFonts w:cs="Arial"/>
          <w:color w:val="000000"/>
          <w:sz w:val="22"/>
          <w:szCs w:val="22"/>
        </w:rPr>
        <w:t>exercise, as the Fund regularly votes against</w:t>
      </w:r>
      <w:r>
        <w:rPr>
          <w:rFonts w:cs="Arial"/>
          <w:color w:val="000000"/>
          <w:sz w:val="22"/>
          <w:szCs w:val="22"/>
        </w:rPr>
        <w:t xml:space="preserve"> </w:t>
      </w:r>
      <w:r w:rsidRPr="00CA5834">
        <w:rPr>
          <w:rFonts w:cs="Arial"/>
          <w:color w:val="000000"/>
          <w:sz w:val="22"/>
          <w:szCs w:val="22"/>
        </w:rPr>
        <w:t>resolutions.</w:t>
      </w:r>
      <w:r>
        <w:rPr>
          <w:rFonts w:cs="Arial"/>
          <w:color w:val="000000"/>
          <w:sz w:val="22"/>
          <w:szCs w:val="22"/>
        </w:rPr>
        <w:t xml:space="preserve"> </w:t>
      </w:r>
      <w:r w:rsidRPr="00CA5834">
        <w:rPr>
          <w:rFonts w:cs="Arial"/>
          <w:color w:val="000000"/>
          <w:sz w:val="22"/>
          <w:szCs w:val="22"/>
        </w:rPr>
        <w:t>The Fund, through a proactive voting policy, in</w:t>
      </w:r>
      <w:r>
        <w:rPr>
          <w:rFonts w:cs="Arial"/>
          <w:color w:val="000000"/>
          <w:sz w:val="22"/>
          <w:szCs w:val="22"/>
        </w:rPr>
        <w:t xml:space="preserve"> </w:t>
      </w:r>
      <w:r w:rsidRPr="00CA5834">
        <w:rPr>
          <w:rFonts w:cs="Arial"/>
          <w:color w:val="000000"/>
          <w:sz w:val="22"/>
          <w:szCs w:val="22"/>
        </w:rPr>
        <w:t>partnership with PIRC, votes its share rights</w:t>
      </w:r>
      <w:r>
        <w:rPr>
          <w:rFonts w:cs="Arial"/>
          <w:color w:val="000000"/>
          <w:sz w:val="22"/>
          <w:szCs w:val="22"/>
        </w:rPr>
        <w:t xml:space="preserve"> </w:t>
      </w:r>
      <w:r w:rsidRPr="00CA5834">
        <w:rPr>
          <w:rFonts w:cs="Arial"/>
          <w:color w:val="000000"/>
          <w:sz w:val="22"/>
          <w:szCs w:val="22"/>
        </w:rPr>
        <w:t>constructively based upon a comprehensive analysis</w:t>
      </w:r>
      <w:r>
        <w:rPr>
          <w:rFonts w:cs="Arial"/>
          <w:color w:val="000000"/>
          <w:sz w:val="22"/>
          <w:szCs w:val="22"/>
        </w:rPr>
        <w:t xml:space="preserve"> </w:t>
      </w:r>
      <w:r w:rsidRPr="00CA5834">
        <w:rPr>
          <w:rFonts w:cs="Arial"/>
          <w:color w:val="000000"/>
          <w:sz w:val="22"/>
          <w:szCs w:val="22"/>
        </w:rPr>
        <w:t>of company voting issues.</w:t>
      </w:r>
    </w:p>
    <w:p w:rsidR="000000B9" w:rsidRDefault="000000B9" w:rsidP="000000B9">
      <w:pPr>
        <w:autoSpaceDE w:val="0"/>
        <w:autoSpaceDN w:val="0"/>
        <w:adjustRightInd w:val="0"/>
        <w:rPr>
          <w:rFonts w:cs="Arial"/>
          <w:color w:val="000000"/>
          <w:sz w:val="22"/>
          <w:szCs w:val="22"/>
        </w:rPr>
      </w:pPr>
    </w:p>
    <w:p w:rsidR="000000B9" w:rsidRPr="00C4528A" w:rsidRDefault="000000B9" w:rsidP="000000B9">
      <w:pPr>
        <w:rPr>
          <w:rFonts w:cs="Arial"/>
          <w:color w:val="000000"/>
          <w:sz w:val="22"/>
          <w:szCs w:val="22"/>
        </w:rPr>
      </w:pPr>
      <w:r w:rsidRPr="00C4528A">
        <w:rPr>
          <w:rFonts w:cs="Arial"/>
          <w:color w:val="000000"/>
          <w:sz w:val="22"/>
          <w:szCs w:val="22"/>
        </w:rPr>
        <w:t>PIRC is instructed to vote the Fund's shares in accordance with its guidelines unless an Investment Manager requests a different vote for investment management reasons.  In the latter case, the Treasurer to the Fund will decide how best to cast the vote in the long-term financial interest of the Fund.</w:t>
      </w:r>
    </w:p>
    <w:p w:rsidR="00A44D68" w:rsidRDefault="00A44D68" w:rsidP="000000B9">
      <w:pPr>
        <w:autoSpaceDE w:val="0"/>
        <w:autoSpaceDN w:val="0"/>
        <w:adjustRightInd w:val="0"/>
        <w:rPr>
          <w:rFonts w:cs="Arial"/>
          <w:color w:val="000000"/>
          <w:sz w:val="22"/>
          <w:szCs w:val="22"/>
        </w:rPr>
      </w:pPr>
    </w:p>
    <w:p w:rsidR="000000B9" w:rsidRPr="00C4528A" w:rsidRDefault="000000B9" w:rsidP="000000B9">
      <w:pPr>
        <w:autoSpaceDE w:val="0"/>
        <w:autoSpaceDN w:val="0"/>
        <w:adjustRightInd w:val="0"/>
        <w:rPr>
          <w:rFonts w:cs="Arial"/>
          <w:i/>
          <w:color w:val="000000"/>
          <w:sz w:val="22"/>
          <w:szCs w:val="22"/>
        </w:rPr>
      </w:pPr>
      <w:r w:rsidRPr="00C4528A">
        <w:rPr>
          <w:rFonts w:cs="Arial"/>
          <w:i/>
          <w:color w:val="000000"/>
          <w:sz w:val="22"/>
          <w:szCs w:val="22"/>
        </w:rPr>
        <w:t>b) Engagement through Partnerships</w:t>
      </w:r>
    </w:p>
    <w:p w:rsidR="000000B9" w:rsidRPr="00CA5834" w:rsidRDefault="000000B9" w:rsidP="000000B9">
      <w:pPr>
        <w:autoSpaceDE w:val="0"/>
        <w:autoSpaceDN w:val="0"/>
        <w:adjustRightInd w:val="0"/>
        <w:rPr>
          <w:rFonts w:cs="Arial"/>
          <w:color w:val="000000"/>
          <w:sz w:val="22"/>
          <w:szCs w:val="22"/>
        </w:rPr>
      </w:pPr>
      <w:r w:rsidRPr="00CA5834">
        <w:rPr>
          <w:rFonts w:cs="Arial"/>
          <w:color w:val="000000"/>
          <w:sz w:val="22"/>
          <w:szCs w:val="22"/>
        </w:rPr>
        <w:t>The Fund’s second approach involves working in</w:t>
      </w:r>
      <w:r>
        <w:rPr>
          <w:rFonts w:cs="Arial"/>
          <w:color w:val="000000"/>
          <w:sz w:val="22"/>
          <w:szCs w:val="22"/>
        </w:rPr>
        <w:t xml:space="preserve"> </w:t>
      </w:r>
      <w:r w:rsidRPr="00CA5834">
        <w:rPr>
          <w:rFonts w:cs="Arial"/>
          <w:color w:val="000000"/>
          <w:sz w:val="22"/>
          <w:szCs w:val="22"/>
        </w:rPr>
        <w:t>partnership with like-minded bodies. The Fund</w:t>
      </w:r>
      <w:r>
        <w:rPr>
          <w:rFonts w:cs="Arial"/>
          <w:color w:val="000000"/>
          <w:sz w:val="22"/>
          <w:szCs w:val="22"/>
        </w:rPr>
        <w:t xml:space="preserve"> </w:t>
      </w:r>
      <w:r w:rsidRPr="00CA5834">
        <w:rPr>
          <w:rFonts w:cs="Arial"/>
          <w:color w:val="000000"/>
          <w:sz w:val="22"/>
          <w:szCs w:val="22"/>
        </w:rPr>
        <w:t>recognises that to gain the attention of companies in</w:t>
      </w:r>
      <w:r>
        <w:rPr>
          <w:rFonts w:cs="Arial"/>
          <w:color w:val="000000"/>
          <w:sz w:val="22"/>
          <w:szCs w:val="22"/>
        </w:rPr>
        <w:t xml:space="preserve"> </w:t>
      </w:r>
      <w:r w:rsidRPr="00CA5834">
        <w:rPr>
          <w:rFonts w:cs="Arial"/>
          <w:color w:val="000000"/>
          <w:sz w:val="22"/>
          <w:szCs w:val="22"/>
        </w:rPr>
        <w:t>addressing governance concerns, it needs to join other</w:t>
      </w:r>
      <w:r>
        <w:rPr>
          <w:rFonts w:cs="Arial"/>
          <w:color w:val="000000"/>
          <w:sz w:val="22"/>
          <w:szCs w:val="22"/>
        </w:rPr>
        <w:t xml:space="preserve"> </w:t>
      </w:r>
      <w:r w:rsidRPr="00CA5834">
        <w:rPr>
          <w:rFonts w:cs="Arial"/>
          <w:color w:val="000000"/>
          <w:sz w:val="22"/>
          <w:szCs w:val="22"/>
        </w:rPr>
        <w:t>investors with similar concerns. It does this through:</w:t>
      </w:r>
    </w:p>
    <w:p w:rsidR="000000B9" w:rsidRPr="00CA5834" w:rsidRDefault="000000B9" w:rsidP="000000B9">
      <w:pPr>
        <w:numPr>
          <w:ilvl w:val="0"/>
          <w:numId w:val="5"/>
        </w:numPr>
        <w:autoSpaceDE w:val="0"/>
        <w:autoSpaceDN w:val="0"/>
        <w:adjustRightInd w:val="0"/>
        <w:rPr>
          <w:rFonts w:cs="Arial"/>
          <w:sz w:val="22"/>
          <w:szCs w:val="22"/>
        </w:rPr>
      </w:pPr>
      <w:r>
        <w:rPr>
          <w:rFonts w:cs="Arial"/>
          <w:sz w:val="22"/>
          <w:szCs w:val="22"/>
        </w:rPr>
        <w:t>Local Authority Pension Fund Forum (</w:t>
      </w:r>
      <w:r w:rsidRPr="00CA5834">
        <w:rPr>
          <w:rFonts w:cs="Arial"/>
          <w:sz w:val="22"/>
          <w:szCs w:val="22"/>
        </w:rPr>
        <w:t>LAPFF</w:t>
      </w:r>
      <w:r>
        <w:rPr>
          <w:rFonts w:cs="Arial"/>
          <w:sz w:val="22"/>
          <w:szCs w:val="22"/>
        </w:rPr>
        <w:t>);</w:t>
      </w:r>
    </w:p>
    <w:p w:rsidR="000000B9" w:rsidRPr="00CA5834" w:rsidRDefault="000000B9" w:rsidP="000000B9">
      <w:pPr>
        <w:numPr>
          <w:ilvl w:val="0"/>
          <w:numId w:val="5"/>
        </w:numPr>
        <w:autoSpaceDE w:val="0"/>
        <w:autoSpaceDN w:val="0"/>
        <w:adjustRightInd w:val="0"/>
        <w:rPr>
          <w:rFonts w:cs="Arial"/>
          <w:sz w:val="22"/>
          <w:szCs w:val="22"/>
        </w:rPr>
      </w:pPr>
      <w:r w:rsidRPr="00CA5834">
        <w:rPr>
          <w:rFonts w:cs="Arial"/>
          <w:sz w:val="22"/>
          <w:szCs w:val="22"/>
        </w:rPr>
        <w:t>Voting on shareholder resolutions</w:t>
      </w:r>
      <w:r>
        <w:rPr>
          <w:rFonts w:cs="Arial"/>
          <w:sz w:val="22"/>
          <w:szCs w:val="22"/>
        </w:rPr>
        <w:t>;</w:t>
      </w:r>
    </w:p>
    <w:p w:rsidR="000000B9" w:rsidRPr="00CA5834" w:rsidRDefault="000000B9" w:rsidP="000000B9">
      <w:pPr>
        <w:numPr>
          <w:ilvl w:val="0"/>
          <w:numId w:val="5"/>
        </w:numPr>
        <w:autoSpaceDE w:val="0"/>
        <w:autoSpaceDN w:val="0"/>
        <w:adjustRightInd w:val="0"/>
        <w:rPr>
          <w:rFonts w:cs="Arial"/>
          <w:sz w:val="22"/>
          <w:szCs w:val="22"/>
        </w:rPr>
      </w:pPr>
      <w:r w:rsidRPr="00CA5834">
        <w:rPr>
          <w:rFonts w:cs="Arial"/>
          <w:sz w:val="22"/>
          <w:szCs w:val="22"/>
        </w:rPr>
        <w:t>Joining appropriate lobbying activities.</w:t>
      </w:r>
    </w:p>
    <w:p w:rsidR="000000B9" w:rsidRDefault="000000B9" w:rsidP="000000B9">
      <w:pPr>
        <w:autoSpaceDE w:val="0"/>
        <w:autoSpaceDN w:val="0"/>
        <w:adjustRightInd w:val="0"/>
        <w:rPr>
          <w:rFonts w:cs="Arial"/>
          <w:color w:val="000000"/>
          <w:sz w:val="22"/>
          <w:szCs w:val="22"/>
        </w:rPr>
      </w:pPr>
    </w:p>
    <w:p w:rsidR="000000B9" w:rsidRPr="00CA5834" w:rsidRDefault="000000B9" w:rsidP="000000B9">
      <w:pPr>
        <w:autoSpaceDE w:val="0"/>
        <w:autoSpaceDN w:val="0"/>
        <w:adjustRightInd w:val="0"/>
        <w:rPr>
          <w:rFonts w:cs="Arial"/>
          <w:color w:val="1F497D" w:themeColor="text2"/>
          <w:sz w:val="22"/>
          <w:szCs w:val="22"/>
        </w:rPr>
      </w:pPr>
      <w:r w:rsidRPr="00CA5834">
        <w:rPr>
          <w:rFonts w:cs="Arial"/>
          <w:color w:val="000000"/>
          <w:sz w:val="22"/>
          <w:szCs w:val="22"/>
        </w:rPr>
        <w:t>In terms of its engagement approach with other</w:t>
      </w:r>
      <w:r>
        <w:rPr>
          <w:rFonts w:cs="Arial"/>
          <w:color w:val="000000"/>
          <w:sz w:val="22"/>
          <w:szCs w:val="22"/>
        </w:rPr>
        <w:t xml:space="preserve"> </w:t>
      </w:r>
      <w:r w:rsidRPr="00CA5834">
        <w:rPr>
          <w:rFonts w:cs="Arial"/>
          <w:color w:val="000000"/>
          <w:sz w:val="22"/>
          <w:szCs w:val="22"/>
        </w:rPr>
        <w:t>investors, it is most significant through LAPFF. This</w:t>
      </w:r>
      <w:r>
        <w:rPr>
          <w:rFonts w:cs="Arial"/>
          <w:color w:val="000000"/>
          <w:sz w:val="22"/>
          <w:szCs w:val="22"/>
        </w:rPr>
        <w:t xml:space="preserve"> </w:t>
      </w:r>
      <w:r w:rsidRPr="00CA5834">
        <w:rPr>
          <w:rFonts w:cs="Arial"/>
          <w:color w:val="000000"/>
          <w:sz w:val="22"/>
          <w:szCs w:val="22"/>
        </w:rPr>
        <w:t>Forum exists to promote the investment interests of</w:t>
      </w:r>
      <w:r>
        <w:rPr>
          <w:rFonts w:cs="Arial"/>
          <w:color w:val="000000"/>
          <w:sz w:val="22"/>
          <w:szCs w:val="22"/>
        </w:rPr>
        <w:t xml:space="preserve"> </w:t>
      </w:r>
      <w:r w:rsidRPr="00CA5834">
        <w:rPr>
          <w:rFonts w:cs="Arial"/>
          <w:color w:val="000000"/>
          <w:sz w:val="22"/>
          <w:szCs w:val="22"/>
        </w:rPr>
        <w:t>local authority pension funds, and to maximise their</w:t>
      </w:r>
      <w:r>
        <w:rPr>
          <w:rFonts w:cs="Arial"/>
          <w:color w:val="000000"/>
          <w:sz w:val="22"/>
          <w:szCs w:val="22"/>
        </w:rPr>
        <w:t xml:space="preserve"> </w:t>
      </w:r>
      <w:r w:rsidRPr="00CA5834">
        <w:rPr>
          <w:rFonts w:cs="Arial"/>
          <w:color w:val="000000"/>
          <w:sz w:val="22"/>
          <w:szCs w:val="22"/>
        </w:rPr>
        <w:t>influence as shareholders to promote corporate social</w:t>
      </w:r>
      <w:r>
        <w:rPr>
          <w:rFonts w:cs="Arial"/>
          <w:color w:val="000000"/>
          <w:sz w:val="22"/>
          <w:szCs w:val="22"/>
        </w:rPr>
        <w:t xml:space="preserve"> </w:t>
      </w:r>
      <w:r w:rsidRPr="00CA5834">
        <w:rPr>
          <w:rFonts w:cs="Arial"/>
          <w:color w:val="000000"/>
          <w:sz w:val="22"/>
          <w:szCs w:val="22"/>
        </w:rPr>
        <w:lastRenderedPageBreak/>
        <w:t>responsibility and high standards of corporate</w:t>
      </w:r>
      <w:r>
        <w:rPr>
          <w:rFonts w:cs="Arial"/>
          <w:color w:val="000000"/>
          <w:sz w:val="22"/>
          <w:szCs w:val="22"/>
        </w:rPr>
        <w:t xml:space="preserve"> </w:t>
      </w:r>
      <w:r w:rsidRPr="00CA5834">
        <w:rPr>
          <w:rFonts w:cs="Arial"/>
          <w:color w:val="000000"/>
          <w:sz w:val="22"/>
          <w:szCs w:val="22"/>
        </w:rPr>
        <w:t>governance among the companies in which they</w:t>
      </w:r>
      <w:r>
        <w:rPr>
          <w:rFonts w:cs="Arial"/>
          <w:color w:val="000000"/>
          <w:sz w:val="22"/>
          <w:szCs w:val="22"/>
        </w:rPr>
        <w:t xml:space="preserve"> </w:t>
      </w:r>
      <w:r w:rsidRPr="00CA5834">
        <w:rPr>
          <w:rFonts w:cs="Arial"/>
          <w:color w:val="000000"/>
          <w:sz w:val="22"/>
          <w:szCs w:val="22"/>
        </w:rPr>
        <w:t>invest. See the LAPFF website for further details:</w:t>
      </w:r>
      <w:r>
        <w:rPr>
          <w:rFonts w:cs="Arial"/>
          <w:color w:val="000000"/>
          <w:sz w:val="22"/>
          <w:szCs w:val="22"/>
        </w:rPr>
        <w:t xml:space="preserve"> </w:t>
      </w:r>
      <w:r w:rsidRPr="00CA5834">
        <w:rPr>
          <w:rFonts w:cs="Arial"/>
          <w:color w:val="1F497D" w:themeColor="text2"/>
          <w:sz w:val="22"/>
          <w:szCs w:val="22"/>
        </w:rPr>
        <w:t>www.lapfforum.org</w:t>
      </w:r>
    </w:p>
    <w:p w:rsidR="000000B9" w:rsidRDefault="000000B9" w:rsidP="000000B9">
      <w:pPr>
        <w:autoSpaceDE w:val="0"/>
        <w:autoSpaceDN w:val="0"/>
        <w:adjustRightInd w:val="0"/>
        <w:rPr>
          <w:rFonts w:cs="Arial"/>
          <w:color w:val="000000"/>
          <w:sz w:val="22"/>
          <w:szCs w:val="22"/>
        </w:rPr>
      </w:pPr>
    </w:p>
    <w:p w:rsidR="000000B9" w:rsidRPr="00C4528A" w:rsidRDefault="000000B9" w:rsidP="000000B9">
      <w:pPr>
        <w:autoSpaceDE w:val="0"/>
        <w:autoSpaceDN w:val="0"/>
        <w:adjustRightInd w:val="0"/>
        <w:rPr>
          <w:rFonts w:cs="Arial"/>
          <w:i/>
          <w:color w:val="000000"/>
          <w:sz w:val="22"/>
          <w:szCs w:val="22"/>
        </w:rPr>
      </w:pPr>
      <w:r w:rsidRPr="00C4528A">
        <w:rPr>
          <w:rFonts w:cs="Arial"/>
          <w:i/>
          <w:color w:val="000000"/>
          <w:sz w:val="22"/>
          <w:szCs w:val="22"/>
        </w:rPr>
        <w:t>c) Shareholder Litigation</w:t>
      </w:r>
    </w:p>
    <w:p w:rsidR="000000B9" w:rsidRPr="00CA5834" w:rsidRDefault="000000B9" w:rsidP="000000B9">
      <w:pPr>
        <w:autoSpaceDE w:val="0"/>
        <w:autoSpaceDN w:val="0"/>
        <w:adjustRightInd w:val="0"/>
        <w:rPr>
          <w:rFonts w:cs="Arial"/>
          <w:color w:val="000000"/>
          <w:sz w:val="22"/>
          <w:szCs w:val="22"/>
        </w:rPr>
      </w:pPr>
      <w:r>
        <w:rPr>
          <w:rFonts w:cs="Arial"/>
          <w:color w:val="000000"/>
          <w:sz w:val="22"/>
          <w:szCs w:val="22"/>
        </w:rPr>
        <w:t xml:space="preserve">The third approach, </w:t>
      </w:r>
      <w:r w:rsidRPr="00CA5834">
        <w:rPr>
          <w:rFonts w:cs="Arial"/>
          <w:color w:val="000000"/>
          <w:sz w:val="22"/>
          <w:szCs w:val="22"/>
        </w:rPr>
        <w:t>adopted by the Fund in order</w:t>
      </w:r>
      <w:r>
        <w:rPr>
          <w:rFonts w:cs="Arial"/>
          <w:color w:val="000000"/>
          <w:sz w:val="22"/>
          <w:szCs w:val="22"/>
        </w:rPr>
        <w:t xml:space="preserve"> </w:t>
      </w:r>
      <w:r w:rsidRPr="00CA5834">
        <w:rPr>
          <w:rFonts w:cs="Arial"/>
          <w:color w:val="000000"/>
          <w:sz w:val="22"/>
          <w:szCs w:val="22"/>
        </w:rPr>
        <w:t>to encourage corporate management to behave</w:t>
      </w:r>
      <w:r>
        <w:rPr>
          <w:rFonts w:cs="Arial"/>
          <w:color w:val="000000"/>
          <w:sz w:val="22"/>
          <w:szCs w:val="22"/>
        </w:rPr>
        <w:t xml:space="preserve"> </w:t>
      </w:r>
      <w:r w:rsidRPr="00CA5834">
        <w:rPr>
          <w:rFonts w:cs="Arial"/>
          <w:color w:val="000000"/>
          <w:sz w:val="22"/>
          <w:szCs w:val="22"/>
        </w:rPr>
        <w:t>responsibly and honestly, is through shareholder</w:t>
      </w:r>
      <w:r>
        <w:rPr>
          <w:rFonts w:cs="Arial"/>
          <w:color w:val="000000"/>
          <w:sz w:val="22"/>
          <w:szCs w:val="22"/>
        </w:rPr>
        <w:t xml:space="preserve"> </w:t>
      </w:r>
      <w:r w:rsidRPr="00CA5834">
        <w:rPr>
          <w:rFonts w:cs="Arial"/>
          <w:color w:val="000000"/>
          <w:sz w:val="22"/>
          <w:szCs w:val="22"/>
        </w:rPr>
        <w:t xml:space="preserve">litigation. The Fund, in partnership with </w:t>
      </w:r>
      <w:r>
        <w:rPr>
          <w:rFonts w:cs="Arial"/>
          <w:color w:val="000000"/>
          <w:sz w:val="22"/>
          <w:szCs w:val="22"/>
        </w:rPr>
        <w:t xml:space="preserve">two </w:t>
      </w:r>
      <w:r w:rsidRPr="00CA5834">
        <w:rPr>
          <w:rFonts w:cs="Arial"/>
          <w:color w:val="000000"/>
          <w:sz w:val="22"/>
          <w:szCs w:val="22"/>
        </w:rPr>
        <w:t>US law firm</w:t>
      </w:r>
      <w:r>
        <w:rPr>
          <w:rFonts w:cs="Arial"/>
          <w:color w:val="000000"/>
          <w:sz w:val="22"/>
          <w:szCs w:val="22"/>
        </w:rPr>
        <w:t xml:space="preserve">s </w:t>
      </w:r>
      <w:r w:rsidRPr="00CA5834">
        <w:rPr>
          <w:rFonts w:cs="Arial"/>
          <w:color w:val="000000"/>
          <w:sz w:val="22"/>
          <w:szCs w:val="22"/>
        </w:rPr>
        <w:t>and other shareholders, submits class actions globally</w:t>
      </w:r>
      <w:r>
        <w:rPr>
          <w:rFonts w:cs="Arial"/>
          <w:color w:val="000000"/>
          <w:sz w:val="22"/>
          <w:szCs w:val="22"/>
        </w:rPr>
        <w:t xml:space="preserve"> </w:t>
      </w:r>
      <w:r w:rsidRPr="00CA5834">
        <w:rPr>
          <w:rFonts w:cs="Arial"/>
          <w:color w:val="000000"/>
          <w:sz w:val="22"/>
          <w:szCs w:val="22"/>
        </w:rPr>
        <w:t>where possible and where appropriate.</w:t>
      </w:r>
    </w:p>
    <w:p w:rsidR="000000B9" w:rsidRDefault="000000B9" w:rsidP="000000B9">
      <w:pPr>
        <w:autoSpaceDE w:val="0"/>
        <w:autoSpaceDN w:val="0"/>
        <w:adjustRightInd w:val="0"/>
        <w:rPr>
          <w:rFonts w:cs="Arial"/>
          <w:color w:val="000000"/>
          <w:sz w:val="22"/>
          <w:szCs w:val="22"/>
        </w:rPr>
      </w:pPr>
    </w:p>
    <w:p w:rsidR="000000B9" w:rsidRPr="00C4528A" w:rsidRDefault="000000B9" w:rsidP="000000B9">
      <w:pPr>
        <w:autoSpaceDE w:val="0"/>
        <w:autoSpaceDN w:val="0"/>
        <w:adjustRightInd w:val="0"/>
        <w:rPr>
          <w:rFonts w:cs="Arial"/>
          <w:i/>
          <w:color w:val="000000"/>
          <w:sz w:val="22"/>
          <w:szCs w:val="22"/>
        </w:rPr>
      </w:pPr>
      <w:r w:rsidRPr="00C4528A">
        <w:rPr>
          <w:rFonts w:cs="Arial"/>
          <w:i/>
          <w:color w:val="000000"/>
          <w:sz w:val="22"/>
          <w:szCs w:val="22"/>
        </w:rPr>
        <w:t>d) Active Investing</w:t>
      </w:r>
    </w:p>
    <w:p w:rsidR="005A1F6C" w:rsidRDefault="000000B9" w:rsidP="008647FE">
      <w:pPr>
        <w:autoSpaceDE w:val="0"/>
        <w:autoSpaceDN w:val="0"/>
        <w:adjustRightInd w:val="0"/>
        <w:rPr>
          <w:rFonts w:cs="Arial"/>
          <w:color w:val="000000"/>
          <w:sz w:val="22"/>
          <w:szCs w:val="22"/>
        </w:rPr>
      </w:pPr>
      <w:r w:rsidRPr="00CA5834">
        <w:rPr>
          <w:rFonts w:cs="Arial"/>
          <w:color w:val="000000"/>
          <w:sz w:val="22"/>
          <w:szCs w:val="22"/>
        </w:rPr>
        <w:t>The fourth and most challenging activity for the Fund in</w:t>
      </w:r>
      <w:r>
        <w:rPr>
          <w:rFonts w:cs="Arial"/>
          <w:color w:val="000000"/>
          <w:sz w:val="22"/>
          <w:szCs w:val="22"/>
        </w:rPr>
        <w:t xml:space="preserve"> </w:t>
      </w:r>
      <w:r w:rsidRPr="00CA5834">
        <w:rPr>
          <w:rFonts w:cs="Arial"/>
          <w:color w:val="000000"/>
          <w:sz w:val="22"/>
          <w:szCs w:val="22"/>
        </w:rPr>
        <w:t>this particular field is actively seeking investments</w:t>
      </w:r>
      <w:r w:rsidR="00B92528">
        <w:rPr>
          <w:rFonts w:cs="Arial"/>
          <w:color w:val="000000"/>
          <w:sz w:val="22"/>
          <w:szCs w:val="22"/>
        </w:rPr>
        <w:t xml:space="preserve"> with ESG characteristics</w:t>
      </w:r>
      <w:r w:rsidRPr="00CA5834">
        <w:rPr>
          <w:rFonts w:cs="Arial"/>
          <w:color w:val="000000"/>
          <w:sz w:val="22"/>
          <w:szCs w:val="22"/>
        </w:rPr>
        <w:t>, provided these meet</w:t>
      </w:r>
      <w:r>
        <w:rPr>
          <w:rFonts w:cs="Arial"/>
          <w:color w:val="000000"/>
          <w:sz w:val="22"/>
          <w:szCs w:val="22"/>
        </w:rPr>
        <w:t xml:space="preserve"> </w:t>
      </w:r>
      <w:r w:rsidRPr="00CA5834">
        <w:rPr>
          <w:rFonts w:cs="Arial"/>
          <w:color w:val="000000"/>
          <w:sz w:val="22"/>
          <w:szCs w:val="22"/>
        </w:rPr>
        <w:t>the Fund’s requirements of strong returns combined</w:t>
      </w:r>
      <w:r>
        <w:rPr>
          <w:rFonts w:cs="Arial"/>
          <w:color w:val="000000"/>
          <w:sz w:val="22"/>
          <w:szCs w:val="22"/>
        </w:rPr>
        <w:t xml:space="preserve"> </w:t>
      </w:r>
      <w:r w:rsidRPr="00CA5834">
        <w:rPr>
          <w:rFonts w:cs="Arial"/>
          <w:color w:val="000000"/>
          <w:sz w:val="22"/>
          <w:szCs w:val="22"/>
        </w:rPr>
        <w:t xml:space="preserve">with best practice in </w:t>
      </w:r>
      <w:r w:rsidR="00B92528">
        <w:rPr>
          <w:rFonts w:cs="Arial"/>
          <w:color w:val="000000"/>
          <w:sz w:val="22"/>
          <w:szCs w:val="22"/>
        </w:rPr>
        <w:t>ESG</w:t>
      </w:r>
      <w:r w:rsidRPr="00CA5834">
        <w:rPr>
          <w:rFonts w:cs="Arial"/>
          <w:color w:val="000000"/>
          <w:sz w:val="22"/>
          <w:szCs w:val="22"/>
        </w:rPr>
        <w:t xml:space="preserve"> and/or corporate governance.</w:t>
      </w:r>
      <w:r>
        <w:rPr>
          <w:rFonts w:cs="Arial"/>
          <w:color w:val="000000"/>
          <w:sz w:val="22"/>
          <w:szCs w:val="22"/>
        </w:rPr>
        <w:t xml:space="preserve"> </w:t>
      </w:r>
      <w:r w:rsidRPr="00CA5834">
        <w:rPr>
          <w:rFonts w:cs="Arial"/>
          <w:color w:val="000000"/>
          <w:sz w:val="22"/>
          <w:szCs w:val="22"/>
        </w:rPr>
        <w:t>Such investments include alternative energy, clean</w:t>
      </w:r>
      <w:r>
        <w:rPr>
          <w:rFonts w:cs="Arial"/>
          <w:color w:val="000000"/>
          <w:sz w:val="22"/>
          <w:szCs w:val="22"/>
        </w:rPr>
        <w:t xml:space="preserve"> </w:t>
      </w:r>
      <w:r w:rsidRPr="00CA5834">
        <w:rPr>
          <w:rFonts w:cs="Arial"/>
          <w:color w:val="000000"/>
          <w:sz w:val="22"/>
          <w:szCs w:val="22"/>
        </w:rPr>
        <w:t xml:space="preserve">energy, </w:t>
      </w:r>
      <w:r>
        <w:rPr>
          <w:rFonts w:cs="Arial"/>
          <w:color w:val="000000"/>
          <w:sz w:val="22"/>
          <w:szCs w:val="22"/>
        </w:rPr>
        <w:t>shared ownership housing</w:t>
      </w:r>
      <w:r w:rsidRPr="00CA5834">
        <w:rPr>
          <w:rFonts w:cs="Arial"/>
          <w:color w:val="000000"/>
          <w:sz w:val="22"/>
          <w:szCs w:val="22"/>
        </w:rPr>
        <w:t>.</w:t>
      </w:r>
    </w:p>
    <w:p w:rsidR="001E43FE" w:rsidRDefault="001E43FE" w:rsidP="008647FE">
      <w:pPr>
        <w:autoSpaceDE w:val="0"/>
        <w:autoSpaceDN w:val="0"/>
        <w:adjustRightInd w:val="0"/>
        <w:rPr>
          <w:rFonts w:cs="Arial"/>
          <w:color w:val="000000"/>
          <w:sz w:val="22"/>
          <w:szCs w:val="22"/>
        </w:rPr>
      </w:pPr>
    </w:p>
    <w:p w:rsidR="001E43FE" w:rsidRDefault="001E43FE" w:rsidP="008647FE">
      <w:pPr>
        <w:autoSpaceDE w:val="0"/>
        <w:autoSpaceDN w:val="0"/>
        <w:adjustRightInd w:val="0"/>
        <w:rPr>
          <w:rFonts w:cs="Arial"/>
          <w:color w:val="000000"/>
          <w:sz w:val="22"/>
          <w:szCs w:val="22"/>
        </w:rPr>
      </w:pPr>
    </w:p>
    <w:p w:rsidR="001E43FE" w:rsidRDefault="001E43FE" w:rsidP="008647FE">
      <w:pPr>
        <w:autoSpaceDE w:val="0"/>
        <w:autoSpaceDN w:val="0"/>
        <w:adjustRightInd w:val="0"/>
        <w:rPr>
          <w:rFonts w:cs="Arial"/>
          <w:color w:val="000000"/>
          <w:sz w:val="22"/>
          <w:szCs w:val="22"/>
        </w:rPr>
      </w:pPr>
    </w:p>
    <w:p w:rsidR="001E43FE" w:rsidRDefault="001E43FE" w:rsidP="008647FE">
      <w:pPr>
        <w:autoSpaceDE w:val="0"/>
        <w:autoSpaceDN w:val="0"/>
        <w:adjustRightInd w:val="0"/>
        <w:rPr>
          <w:rFonts w:cs="Arial"/>
          <w:color w:val="000000"/>
          <w:sz w:val="22"/>
          <w:szCs w:val="22"/>
        </w:rPr>
      </w:pPr>
    </w:p>
    <w:p w:rsidR="001E43FE" w:rsidRDefault="001E43FE" w:rsidP="008647FE">
      <w:pPr>
        <w:autoSpaceDE w:val="0"/>
        <w:autoSpaceDN w:val="0"/>
        <w:adjustRightInd w:val="0"/>
        <w:rPr>
          <w:rFonts w:cs="Arial"/>
          <w:color w:val="000000"/>
          <w:sz w:val="22"/>
          <w:szCs w:val="22"/>
        </w:rPr>
      </w:pPr>
    </w:p>
    <w:p w:rsidR="001E43FE" w:rsidRDefault="001E43FE" w:rsidP="008647FE">
      <w:pPr>
        <w:autoSpaceDE w:val="0"/>
        <w:autoSpaceDN w:val="0"/>
        <w:adjustRightInd w:val="0"/>
        <w:rPr>
          <w:rFonts w:cs="Arial"/>
          <w:color w:val="000000"/>
          <w:sz w:val="22"/>
          <w:szCs w:val="22"/>
        </w:rPr>
      </w:pPr>
      <w:r>
        <w:rPr>
          <w:rFonts w:cs="Arial"/>
          <w:color w:val="000000"/>
          <w:sz w:val="22"/>
          <w:szCs w:val="22"/>
        </w:rPr>
        <w:t>The Fund will continue to develop its approach in promoting effective corporate governance and socially responsible investment wherever possible, including working towards certain recognised standards in order to increase transparency and accountability.</w:t>
      </w:r>
    </w:p>
    <w:p w:rsidR="001E43FE" w:rsidRDefault="001E43FE" w:rsidP="008647FE">
      <w:pPr>
        <w:autoSpaceDE w:val="0"/>
        <w:autoSpaceDN w:val="0"/>
        <w:adjustRightInd w:val="0"/>
        <w:rPr>
          <w:rFonts w:cs="Arial"/>
          <w:color w:val="000000"/>
          <w:sz w:val="22"/>
          <w:szCs w:val="22"/>
        </w:rPr>
      </w:pPr>
    </w:p>
    <w:p w:rsidR="001E43FE" w:rsidRDefault="001E43FE" w:rsidP="008647FE">
      <w:pPr>
        <w:autoSpaceDE w:val="0"/>
        <w:autoSpaceDN w:val="0"/>
        <w:adjustRightInd w:val="0"/>
        <w:rPr>
          <w:rFonts w:cs="Arial"/>
          <w:color w:val="000000"/>
          <w:sz w:val="22"/>
          <w:szCs w:val="22"/>
        </w:rPr>
      </w:pPr>
    </w:p>
    <w:p w:rsidR="001E43FE" w:rsidRDefault="001E43FE" w:rsidP="008647FE">
      <w:pPr>
        <w:autoSpaceDE w:val="0"/>
        <w:autoSpaceDN w:val="0"/>
        <w:adjustRightInd w:val="0"/>
        <w:rPr>
          <w:rFonts w:cs="Arial"/>
          <w:color w:val="000000"/>
          <w:sz w:val="22"/>
          <w:szCs w:val="22"/>
        </w:rPr>
      </w:pPr>
    </w:p>
    <w:p w:rsidR="005A1F6C" w:rsidRDefault="005A1F6C" w:rsidP="008647FE">
      <w:pPr>
        <w:autoSpaceDE w:val="0"/>
        <w:autoSpaceDN w:val="0"/>
        <w:adjustRightInd w:val="0"/>
        <w:rPr>
          <w:rFonts w:ascii="TT4B78DEo00" w:hAnsi="TT4B78DEo00" w:cs="TT4B78DEo00"/>
          <w:szCs w:val="24"/>
        </w:rPr>
        <w:sectPr w:rsidR="005A1F6C" w:rsidSect="0054093D">
          <w:headerReference w:type="default" r:id="rId11"/>
          <w:headerReference w:type="first" r:id="rId12"/>
          <w:pgSz w:w="11907" w:h="16840" w:code="9"/>
          <w:pgMar w:top="1440" w:right="1440" w:bottom="1440" w:left="1440" w:header="720" w:footer="306" w:gutter="0"/>
          <w:paperSrc w:first="7" w:other="7"/>
          <w:cols w:space="720"/>
          <w:titlePg/>
        </w:sectPr>
      </w:pPr>
    </w:p>
    <w:p w:rsidR="005A1F6C" w:rsidRPr="00C1219F" w:rsidRDefault="005A1F6C" w:rsidP="005A1F6C">
      <w:pPr>
        <w:rPr>
          <w:b/>
        </w:rPr>
      </w:pPr>
      <w:r w:rsidRPr="00C1219F">
        <w:rPr>
          <w:b/>
        </w:rPr>
        <w:lastRenderedPageBreak/>
        <w:t>Proposed Action Plan</w:t>
      </w:r>
      <w:r w:rsidR="00C1219F">
        <w:rPr>
          <w:b/>
        </w:rPr>
        <w:t xml:space="preserve"> arising from RI Working Group</w:t>
      </w:r>
    </w:p>
    <w:p w:rsidR="005A1F6C" w:rsidRDefault="005A1F6C" w:rsidP="005A1F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3241"/>
        <w:gridCol w:w="2246"/>
        <w:gridCol w:w="1817"/>
        <w:gridCol w:w="1967"/>
        <w:gridCol w:w="15"/>
        <w:gridCol w:w="1496"/>
        <w:gridCol w:w="1405"/>
      </w:tblGrid>
      <w:tr w:rsidR="00E31095" w:rsidRPr="000A5208" w:rsidTr="000A5208">
        <w:trPr>
          <w:trHeight w:val="558"/>
        </w:trPr>
        <w:tc>
          <w:tcPr>
            <w:tcW w:w="1763" w:type="dxa"/>
            <w:vAlign w:val="center"/>
          </w:tcPr>
          <w:p w:rsidR="00E31095" w:rsidRPr="005A1F6C" w:rsidRDefault="00E31095" w:rsidP="005A1F6C">
            <w:pPr>
              <w:autoSpaceDE w:val="0"/>
              <w:autoSpaceDN w:val="0"/>
              <w:adjustRightInd w:val="0"/>
              <w:rPr>
                <w:rFonts w:cs="Arial"/>
                <w:b/>
                <w:sz w:val="20"/>
              </w:rPr>
            </w:pPr>
            <w:r w:rsidRPr="005A1F6C">
              <w:rPr>
                <w:rFonts w:cs="Arial"/>
                <w:b/>
                <w:sz w:val="20"/>
              </w:rPr>
              <w:t>Area</w:t>
            </w:r>
          </w:p>
        </w:tc>
        <w:tc>
          <w:tcPr>
            <w:tcW w:w="3241" w:type="dxa"/>
            <w:vAlign w:val="center"/>
          </w:tcPr>
          <w:p w:rsidR="00E31095" w:rsidRPr="005A1F6C" w:rsidRDefault="00E31095" w:rsidP="005A1F6C">
            <w:pPr>
              <w:autoSpaceDE w:val="0"/>
              <w:autoSpaceDN w:val="0"/>
              <w:adjustRightInd w:val="0"/>
              <w:jc w:val="center"/>
              <w:rPr>
                <w:rFonts w:cs="Arial"/>
                <w:b/>
                <w:sz w:val="20"/>
              </w:rPr>
            </w:pPr>
            <w:r w:rsidRPr="005A1F6C">
              <w:rPr>
                <w:rFonts w:cs="Arial"/>
                <w:b/>
                <w:sz w:val="20"/>
              </w:rPr>
              <w:t>Option</w:t>
            </w:r>
          </w:p>
        </w:tc>
        <w:tc>
          <w:tcPr>
            <w:tcW w:w="2246" w:type="dxa"/>
            <w:vAlign w:val="center"/>
          </w:tcPr>
          <w:p w:rsidR="00E31095" w:rsidRPr="005A1F6C" w:rsidRDefault="00E31095" w:rsidP="005A1F6C">
            <w:pPr>
              <w:autoSpaceDE w:val="0"/>
              <w:autoSpaceDN w:val="0"/>
              <w:adjustRightInd w:val="0"/>
              <w:jc w:val="center"/>
              <w:rPr>
                <w:rFonts w:cs="Arial"/>
                <w:b/>
                <w:sz w:val="20"/>
              </w:rPr>
            </w:pPr>
            <w:r w:rsidRPr="005A1F6C">
              <w:rPr>
                <w:rFonts w:cs="Arial"/>
                <w:b/>
                <w:sz w:val="20"/>
              </w:rPr>
              <w:t>Resources</w:t>
            </w:r>
          </w:p>
        </w:tc>
        <w:tc>
          <w:tcPr>
            <w:tcW w:w="1817" w:type="dxa"/>
            <w:vAlign w:val="center"/>
          </w:tcPr>
          <w:p w:rsidR="00E31095" w:rsidRPr="005A1F6C" w:rsidRDefault="00E31095" w:rsidP="005A1F6C">
            <w:pPr>
              <w:autoSpaceDE w:val="0"/>
              <w:autoSpaceDN w:val="0"/>
              <w:adjustRightInd w:val="0"/>
              <w:jc w:val="center"/>
              <w:rPr>
                <w:rFonts w:cs="Arial"/>
                <w:b/>
                <w:sz w:val="20"/>
              </w:rPr>
            </w:pPr>
            <w:r w:rsidRPr="005A1F6C">
              <w:rPr>
                <w:rFonts w:cs="Arial"/>
                <w:b/>
                <w:sz w:val="20"/>
              </w:rPr>
              <w:t>Direct Cost £</w:t>
            </w:r>
          </w:p>
        </w:tc>
        <w:tc>
          <w:tcPr>
            <w:tcW w:w="1982" w:type="dxa"/>
            <w:gridSpan w:val="2"/>
            <w:vAlign w:val="center"/>
          </w:tcPr>
          <w:p w:rsidR="00E31095" w:rsidRPr="005A1F6C" w:rsidRDefault="00E31095" w:rsidP="005A1F6C">
            <w:pPr>
              <w:autoSpaceDE w:val="0"/>
              <w:autoSpaceDN w:val="0"/>
              <w:adjustRightInd w:val="0"/>
              <w:jc w:val="center"/>
              <w:rPr>
                <w:rFonts w:cs="Arial"/>
                <w:b/>
                <w:sz w:val="20"/>
              </w:rPr>
            </w:pPr>
            <w:r w:rsidRPr="005A1F6C">
              <w:rPr>
                <w:rFonts w:cs="Arial"/>
                <w:b/>
                <w:sz w:val="20"/>
              </w:rPr>
              <w:t>Timescale</w:t>
            </w:r>
          </w:p>
        </w:tc>
        <w:tc>
          <w:tcPr>
            <w:tcW w:w="1496" w:type="dxa"/>
            <w:vAlign w:val="center"/>
          </w:tcPr>
          <w:p w:rsidR="00E31095" w:rsidRPr="005A1F6C" w:rsidRDefault="00E31095" w:rsidP="00E31095">
            <w:pPr>
              <w:autoSpaceDE w:val="0"/>
              <w:autoSpaceDN w:val="0"/>
              <w:adjustRightInd w:val="0"/>
              <w:jc w:val="center"/>
              <w:rPr>
                <w:rFonts w:cs="Arial"/>
                <w:b/>
                <w:sz w:val="20"/>
              </w:rPr>
            </w:pPr>
            <w:r w:rsidRPr="005A1F6C">
              <w:rPr>
                <w:rFonts w:cs="Arial"/>
                <w:b/>
                <w:sz w:val="20"/>
              </w:rPr>
              <w:t>Ease to achieve</w:t>
            </w:r>
          </w:p>
        </w:tc>
        <w:tc>
          <w:tcPr>
            <w:tcW w:w="1405" w:type="dxa"/>
            <w:vAlign w:val="center"/>
          </w:tcPr>
          <w:p w:rsidR="00E31095" w:rsidRPr="005A1F6C" w:rsidRDefault="00E31095" w:rsidP="000A5208">
            <w:pPr>
              <w:autoSpaceDE w:val="0"/>
              <w:autoSpaceDN w:val="0"/>
              <w:adjustRightInd w:val="0"/>
              <w:jc w:val="center"/>
              <w:rPr>
                <w:rFonts w:cs="Arial"/>
                <w:b/>
                <w:sz w:val="20"/>
              </w:rPr>
            </w:pPr>
            <w:r>
              <w:rPr>
                <w:rFonts w:cs="Arial"/>
                <w:b/>
                <w:sz w:val="20"/>
              </w:rPr>
              <w:t>Priority</w:t>
            </w:r>
          </w:p>
        </w:tc>
      </w:tr>
      <w:tr w:rsidR="00E31095" w:rsidRPr="0054093D" w:rsidTr="00F250D7">
        <w:trPr>
          <w:trHeight w:val="461"/>
        </w:trPr>
        <w:tc>
          <w:tcPr>
            <w:tcW w:w="13950" w:type="dxa"/>
            <w:gridSpan w:val="8"/>
            <w:vAlign w:val="center"/>
          </w:tcPr>
          <w:p w:rsidR="00E31095" w:rsidRPr="005A1F6C" w:rsidRDefault="00E31095" w:rsidP="00E31095">
            <w:pPr>
              <w:autoSpaceDE w:val="0"/>
              <w:autoSpaceDN w:val="0"/>
              <w:adjustRightInd w:val="0"/>
              <w:rPr>
                <w:rFonts w:cs="Arial"/>
                <w:b/>
                <w:sz w:val="20"/>
              </w:rPr>
            </w:pPr>
            <w:r w:rsidRPr="005A1F6C">
              <w:rPr>
                <w:rFonts w:cs="Arial"/>
                <w:b/>
                <w:sz w:val="20"/>
              </w:rPr>
              <w:t>Fiduciary duty</w:t>
            </w:r>
          </w:p>
        </w:tc>
      </w:tr>
      <w:tr w:rsidR="00E31095" w:rsidRPr="0054093D" w:rsidTr="00D11B43">
        <w:tc>
          <w:tcPr>
            <w:tcW w:w="13950" w:type="dxa"/>
            <w:gridSpan w:val="8"/>
          </w:tcPr>
          <w:p w:rsidR="00E31095" w:rsidRPr="005A1F6C" w:rsidRDefault="00E31095" w:rsidP="00E31095">
            <w:pPr>
              <w:autoSpaceDE w:val="0"/>
              <w:autoSpaceDN w:val="0"/>
              <w:adjustRightInd w:val="0"/>
              <w:rPr>
                <w:rFonts w:cs="Arial"/>
                <w:sz w:val="20"/>
              </w:rPr>
            </w:pPr>
            <w:r w:rsidRPr="005A1F6C">
              <w:rPr>
                <w:rFonts w:cs="Arial"/>
                <w:sz w:val="20"/>
              </w:rPr>
              <w:t>Outcome 1</w:t>
            </w:r>
          </w:p>
          <w:p w:rsidR="00E31095" w:rsidRPr="005A1F6C" w:rsidRDefault="00E31095" w:rsidP="00EB740F">
            <w:pPr>
              <w:autoSpaceDE w:val="0"/>
              <w:autoSpaceDN w:val="0"/>
              <w:adjustRightInd w:val="0"/>
              <w:rPr>
                <w:rFonts w:cs="Arial"/>
                <w:sz w:val="20"/>
              </w:rPr>
            </w:pPr>
            <w:r w:rsidRPr="005944BF">
              <w:rPr>
                <w:rFonts w:cs="Arial"/>
                <w:sz w:val="20"/>
              </w:rPr>
              <w:t>Having considered all the information presented to its meetings, the Working Group agreed that it would wish to recommend the Pension Fund Committee to consider a more active stance in relation to RI issues than had previously been the case where that did not pose the risk of financial detriment to the Fund.  Members acknowledged that the primary aim of an investment strategy was to secure the best possible return and that the administering authority and trustees should not impose their own ethical views on issues such as tobacco, energy, food etc., on scheme beneficiaries.</w:t>
            </w:r>
          </w:p>
        </w:tc>
      </w:tr>
      <w:tr w:rsidR="00E31095" w:rsidRPr="0054093D" w:rsidTr="000A5208">
        <w:trPr>
          <w:trHeight w:val="475"/>
        </w:trPr>
        <w:tc>
          <w:tcPr>
            <w:tcW w:w="1763" w:type="dxa"/>
            <w:vAlign w:val="center"/>
          </w:tcPr>
          <w:p w:rsidR="00E31095" w:rsidRPr="005944BF" w:rsidRDefault="00E31095" w:rsidP="005944BF">
            <w:pPr>
              <w:autoSpaceDE w:val="0"/>
              <w:autoSpaceDN w:val="0"/>
              <w:adjustRightInd w:val="0"/>
              <w:rPr>
                <w:rFonts w:cs="Arial"/>
                <w:sz w:val="20"/>
              </w:rPr>
            </w:pPr>
            <w:r w:rsidRPr="005944BF">
              <w:rPr>
                <w:rFonts w:cs="Arial"/>
                <w:sz w:val="20"/>
              </w:rPr>
              <w:t>Action 1</w:t>
            </w:r>
          </w:p>
        </w:tc>
        <w:tc>
          <w:tcPr>
            <w:tcW w:w="3241" w:type="dxa"/>
            <w:vAlign w:val="center"/>
          </w:tcPr>
          <w:p w:rsidR="00E31095" w:rsidRPr="005944BF" w:rsidRDefault="00E31095" w:rsidP="00EB740F">
            <w:pPr>
              <w:autoSpaceDE w:val="0"/>
              <w:autoSpaceDN w:val="0"/>
              <w:adjustRightInd w:val="0"/>
              <w:rPr>
                <w:rFonts w:cs="Arial"/>
                <w:sz w:val="20"/>
              </w:rPr>
            </w:pPr>
            <w:r w:rsidRPr="005944BF">
              <w:rPr>
                <w:rFonts w:cs="Arial"/>
                <w:sz w:val="20"/>
              </w:rPr>
              <w:t>Recommendation to Pension Fund Committee to consider a move towards RI where it was practicable to do so, and without posing a detrimental financial risk to the Fund.</w:t>
            </w:r>
          </w:p>
        </w:tc>
        <w:tc>
          <w:tcPr>
            <w:tcW w:w="2246" w:type="dxa"/>
            <w:vAlign w:val="center"/>
          </w:tcPr>
          <w:p w:rsidR="00E31095" w:rsidRPr="005944BF" w:rsidRDefault="00E31095" w:rsidP="005944BF">
            <w:pPr>
              <w:autoSpaceDE w:val="0"/>
              <w:autoSpaceDN w:val="0"/>
              <w:adjustRightInd w:val="0"/>
              <w:rPr>
                <w:rFonts w:cs="Arial"/>
                <w:sz w:val="20"/>
              </w:rPr>
            </w:pPr>
            <w:r w:rsidRPr="005944BF">
              <w:rPr>
                <w:rFonts w:cs="Arial"/>
                <w:sz w:val="20"/>
              </w:rPr>
              <w:t>Officer time</w:t>
            </w:r>
          </w:p>
        </w:tc>
        <w:tc>
          <w:tcPr>
            <w:tcW w:w="1817" w:type="dxa"/>
            <w:vAlign w:val="center"/>
          </w:tcPr>
          <w:p w:rsidR="00E31095" w:rsidRPr="005944BF" w:rsidRDefault="00E31095" w:rsidP="005944BF">
            <w:pPr>
              <w:autoSpaceDE w:val="0"/>
              <w:autoSpaceDN w:val="0"/>
              <w:adjustRightInd w:val="0"/>
              <w:rPr>
                <w:rFonts w:cs="Arial"/>
                <w:sz w:val="20"/>
              </w:rPr>
            </w:pPr>
            <w:r w:rsidRPr="005944BF">
              <w:rPr>
                <w:rFonts w:cs="Arial"/>
                <w:sz w:val="20"/>
              </w:rPr>
              <w:t>None</w:t>
            </w:r>
          </w:p>
        </w:tc>
        <w:tc>
          <w:tcPr>
            <w:tcW w:w="1967" w:type="dxa"/>
            <w:vAlign w:val="center"/>
          </w:tcPr>
          <w:p w:rsidR="00E31095" w:rsidRPr="005944BF" w:rsidRDefault="00E31095" w:rsidP="005944BF">
            <w:pPr>
              <w:autoSpaceDE w:val="0"/>
              <w:autoSpaceDN w:val="0"/>
              <w:adjustRightInd w:val="0"/>
              <w:rPr>
                <w:rFonts w:cs="Arial"/>
                <w:sz w:val="20"/>
              </w:rPr>
            </w:pPr>
            <w:r w:rsidRPr="005944BF">
              <w:rPr>
                <w:rFonts w:cs="Arial"/>
                <w:sz w:val="20"/>
              </w:rPr>
              <w:t>Subsequent meeting of the Pension Fund Committee</w:t>
            </w:r>
          </w:p>
        </w:tc>
        <w:tc>
          <w:tcPr>
            <w:tcW w:w="1511" w:type="dxa"/>
            <w:gridSpan w:val="2"/>
            <w:shd w:val="clear" w:color="auto" w:fill="auto"/>
            <w:vAlign w:val="center"/>
          </w:tcPr>
          <w:p w:rsidR="00E31095" w:rsidRPr="005944BF" w:rsidRDefault="00E31095" w:rsidP="00E31095">
            <w:pPr>
              <w:autoSpaceDE w:val="0"/>
              <w:autoSpaceDN w:val="0"/>
              <w:adjustRightInd w:val="0"/>
              <w:jc w:val="center"/>
              <w:rPr>
                <w:rFonts w:cs="Arial"/>
                <w:sz w:val="20"/>
              </w:rPr>
            </w:pPr>
            <w:r w:rsidRPr="005944BF">
              <w:rPr>
                <w:rFonts w:cs="Arial"/>
                <w:sz w:val="20"/>
              </w:rPr>
              <w:t>Easy</w:t>
            </w:r>
          </w:p>
        </w:tc>
        <w:tc>
          <w:tcPr>
            <w:tcW w:w="1405" w:type="dxa"/>
            <w:vAlign w:val="center"/>
          </w:tcPr>
          <w:p w:rsidR="00E31095" w:rsidRPr="005944BF" w:rsidRDefault="00267F89" w:rsidP="000A5208">
            <w:pPr>
              <w:autoSpaceDE w:val="0"/>
              <w:autoSpaceDN w:val="0"/>
              <w:adjustRightInd w:val="0"/>
              <w:jc w:val="center"/>
              <w:rPr>
                <w:rFonts w:cs="Arial"/>
                <w:sz w:val="20"/>
              </w:rPr>
            </w:pPr>
            <w:r>
              <w:rPr>
                <w:rFonts w:cs="Arial"/>
                <w:sz w:val="20"/>
              </w:rPr>
              <w:t>High</w:t>
            </w:r>
          </w:p>
        </w:tc>
      </w:tr>
      <w:tr w:rsidR="00E31095" w:rsidRPr="005944BF" w:rsidTr="00331D60">
        <w:trPr>
          <w:trHeight w:val="951"/>
        </w:trPr>
        <w:tc>
          <w:tcPr>
            <w:tcW w:w="13950" w:type="dxa"/>
            <w:gridSpan w:val="8"/>
          </w:tcPr>
          <w:p w:rsidR="00E31095" w:rsidRPr="005944BF" w:rsidRDefault="00E31095" w:rsidP="00E31095">
            <w:pPr>
              <w:autoSpaceDE w:val="0"/>
              <w:autoSpaceDN w:val="0"/>
              <w:adjustRightInd w:val="0"/>
              <w:rPr>
                <w:rFonts w:cs="Arial"/>
                <w:sz w:val="20"/>
              </w:rPr>
            </w:pPr>
            <w:r w:rsidRPr="005944BF">
              <w:rPr>
                <w:rFonts w:cs="Arial"/>
                <w:sz w:val="20"/>
              </w:rPr>
              <w:t>Outcome 2</w:t>
            </w:r>
          </w:p>
          <w:p w:rsidR="00E31095" w:rsidRPr="005944BF" w:rsidRDefault="00E31095" w:rsidP="00E31095">
            <w:pPr>
              <w:autoSpaceDE w:val="0"/>
              <w:autoSpaceDN w:val="0"/>
              <w:adjustRightInd w:val="0"/>
              <w:rPr>
                <w:rFonts w:cs="Arial"/>
                <w:sz w:val="20"/>
              </w:rPr>
            </w:pPr>
            <w:r w:rsidRPr="005944BF">
              <w:rPr>
                <w:rFonts w:cs="Arial"/>
                <w:sz w:val="20"/>
              </w:rPr>
              <w:t>Concerns were expressed about the Fund's ability to canvass and assess the views of scheme employers and members on specific social, ethical and environmental considerations and investments. Before taking any specific steps that could potentially lead to the investment in or disinvestment from particular sectors, Members acknowledged that it was important to canvass and understand the views of scheme stakeholders, and agreed that different ways of achieving this needed to be explored.</w:t>
            </w:r>
          </w:p>
        </w:tc>
      </w:tr>
      <w:tr w:rsidR="00E31095" w:rsidRPr="005944BF" w:rsidTr="000A5208">
        <w:trPr>
          <w:trHeight w:val="452"/>
        </w:trPr>
        <w:tc>
          <w:tcPr>
            <w:tcW w:w="1763" w:type="dxa"/>
            <w:vAlign w:val="center"/>
          </w:tcPr>
          <w:p w:rsidR="00E31095" w:rsidRPr="00470BAC" w:rsidRDefault="00E31095" w:rsidP="005944BF">
            <w:pPr>
              <w:autoSpaceDE w:val="0"/>
              <w:autoSpaceDN w:val="0"/>
              <w:adjustRightInd w:val="0"/>
              <w:rPr>
                <w:rFonts w:cs="Arial"/>
                <w:sz w:val="20"/>
              </w:rPr>
            </w:pPr>
            <w:r w:rsidRPr="00470BAC">
              <w:rPr>
                <w:rFonts w:cs="Arial"/>
                <w:sz w:val="20"/>
              </w:rPr>
              <w:t>Action 2</w:t>
            </w:r>
          </w:p>
        </w:tc>
        <w:tc>
          <w:tcPr>
            <w:tcW w:w="3241" w:type="dxa"/>
            <w:vAlign w:val="center"/>
          </w:tcPr>
          <w:p w:rsidR="00E31095" w:rsidRPr="00470BAC" w:rsidRDefault="00E31095" w:rsidP="00470BAC">
            <w:pPr>
              <w:autoSpaceDE w:val="0"/>
              <w:autoSpaceDN w:val="0"/>
              <w:adjustRightInd w:val="0"/>
              <w:rPr>
                <w:rFonts w:cs="Arial"/>
                <w:sz w:val="20"/>
              </w:rPr>
            </w:pPr>
            <w:r w:rsidRPr="00470BAC">
              <w:rPr>
                <w:rFonts w:cs="Arial"/>
                <w:sz w:val="20"/>
              </w:rPr>
              <w:t>A policy setting out the circumstances in which stakeholder consultation would be sought and the possible methods for achieving this should be developed.</w:t>
            </w:r>
          </w:p>
        </w:tc>
        <w:tc>
          <w:tcPr>
            <w:tcW w:w="2246" w:type="dxa"/>
            <w:vAlign w:val="center"/>
          </w:tcPr>
          <w:p w:rsidR="00E31095" w:rsidRPr="00470BAC" w:rsidRDefault="00E31095" w:rsidP="005944BF">
            <w:pPr>
              <w:autoSpaceDE w:val="0"/>
              <w:autoSpaceDN w:val="0"/>
              <w:adjustRightInd w:val="0"/>
              <w:rPr>
                <w:rFonts w:cs="Arial"/>
                <w:sz w:val="20"/>
              </w:rPr>
            </w:pPr>
            <w:r w:rsidRPr="00470BAC">
              <w:rPr>
                <w:rFonts w:cs="Arial"/>
                <w:sz w:val="20"/>
              </w:rPr>
              <w:t>Officer time</w:t>
            </w:r>
          </w:p>
        </w:tc>
        <w:tc>
          <w:tcPr>
            <w:tcW w:w="1817" w:type="dxa"/>
            <w:vAlign w:val="center"/>
          </w:tcPr>
          <w:p w:rsidR="00E31095" w:rsidRPr="00470BAC" w:rsidRDefault="00E31095" w:rsidP="005944BF">
            <w:pPr>
              <w:autoSpaceDE w:val="0"/>
              <w:autoSpaceDN w:val="0"/>
              <w:adjustRightInd w:val="0"/>
              <w:rPr>
                <w:rFonts w:cs="Arial"/>
                <w:sz w:val="20"/>
              </w:rPr>
            </w:pPr>
            <w:r w:rsidRPr="00470BAC">
              <w:rPr>
                <w:rFonts w:cs="Arial"/>
                <w:sz w:val="20"/>
              </w:rPr>
              <w:t>None</w:t>
            </w:r>
          </w:p>
        </w:tc>
        <w:tc>
          <w:tcPr>
            <w:tcW w:w="1967" w:type="dxa"/>
            <w:vAlign w:val="center"/>
          </w:tcPr>
          <w:p w:rsidR="00E31095" w:rsidRPr="00470BAC" w:rsidRDefault="00E31095" w:rsidP="005944BF">
            <w:pPr>
              <w:autoSpaceDE w:val="0"/>
              <w:autoSpaceDN w:val="0"/>
              <w:adjustRightInd w:val="0"/>
              <w:rPr>
                <w:rFonts w:cs="Arial"/>
                <w:sz w:val="20"/>
              </w:rPr>
            </w:pPr>
            <w:r w:rsidRPr="00470BAC">
              <w:rPr>
                <w:rFonts w:cs="Arial"/>
                <w:sz w:val="20"/>
              </w:rPr>
              <w:t>31 December 2014</w:t>
            </w:r>
          </w:p>
        </w:tc>
        <w:tc>
          <w:tcPr>
            <w:tcW w:w="1511" w:type="dxa"/>
            <w:gridSpan w:val="2"/>
            <w:vAlign w:val="center"/>
          </w:tcPr>
          <w:p w:rsidR="00E31095" w:rsidRPr="00470BAC" w:rsidRDefault="00E31095" w:rsidP="00E31095">
            <w:pPr>
              <w:autoSpaceDE w:val="0"/>
              <w:autoSpaceDN w:val="0"/>
              <w:adjustRightInd w:val="0"/>
              <w:jc w:val="center"/>
              <w:rPr>
                <w:rFonts w:cs="Arial"/>
                <w:sz w:val="20"/>
              </w:rPr>
            </w:pPr>
            <w:r w:rsidRPr="00470BAC">
              <w:rPr>
                <w:rFonts w:cs="Arial"/>
                <w:sz w:val="20"/>
              </w:rPr>
              <w:t>Moderate</w:t>
            </w:r>
          </w:p>
        </w:tc>
        <w:tc>
          <w:tcPr>
            <w:tcW w:w="1405" w:type="dxa"/>
            <w:vAlign w:val="center"/>
          </w:tcPr>
          <w:p w:rsidR="00E31095" w:rsidRPr="00470BAC" w:rsidRDefault="002E5431" w:rsidP="002E5431">
            <w:pPr>
              <w:autoSpaceDE w:val="0"/>
              <w:autoSpaceDN w:val="0"/>
              <w:adjustRightInd w:val="0"/>
              <w:jc w:val="center"/>
              <w:rPr>
                <w:rFonts w:cs="Arial"/>
                <w:sz w:val="20"/>
              </w:rPr>
            </w:pPr>
            <w:r>
              <w:rPr>
                <w:rFonts w:cs="Arial"/>
                <w:sz w:val="20"/>
              </w:rPr>
              <w:t>Low</w:t>
            </w:r>
          </w:p>
        </w:tc>
      </w:tr>
      <w:tr w:rsidR="00E31095" w:rsidRPr="005944BF" w:rsidTr="00CA2F16">
        <w:tc>
          <w:tcPr>
            <w:tcW w:w="13950" w:type="dxa"/>
            <w:gridSpan w:val="8"/>
          </w:tcPr>
          <w:p w:rsidR="00E31095" w:rsidRPr="00354003" w:rsidRDefault="00E31095" w:rsidP="00E31095">
            <w:pPr>
              <w:autoSpaceDE w:val="0"/>
              <w:autoSpaceDN w:val="0"/>
              <w:adjustRightInd w:val="0"/>
              <w:rPr>
                <w:rFonts w:cs="Arial"/>
                <w:sz w:val="20"/>
              </w:rPr>
            </w:pPr>
            <w:r w:rsidRPr="00354003">
              <w:rPr>
                <w:rFonts w:cs="Arial"/>
                <w:sz w:val="20"/>
              </w:rPr>
              <w:t>Outcome 3</w:t>
            </w:r>
          </w:p>
          <w:p w:rsidR="00E31095" w:rsidRPr="00354003" w:rsidRDefault="00E31095" w:rsidP="00EB740F">
            <w:pPr>
              <w:autoSpaceDE w:val="0"/>
              <w:autoSpaceDN w:val="0"/>
              <w:adjustRightInd w:val="0"/>
              <w:rPr>
                <w:rFonts w:cs="Arial"/>
                <w:sz w:val="20"/>
              </w:rPr>
            </w:pPr>
            <w:r w:rsidRPr="00354003">
              <w:rPr>
                <w:rFonts w:cs="Arial"/>
                <w:sz w:val="20"/>
              </w:rPr>
              <w:t xml:space="preserve">The Working Group felt that it now had a much greater understanding of </w:t>
            </w:r>
            <w:r w:rsidR="00EB740F">
              <w:rPr>
                <w:rFonts w:cs="Arial"/>
                <w:sz w:val="20"/>
              </w:rPr>
              <w:t xml:space="preserve">RI, </w:t>
            </w:r>
            <w:r w:rsidRPr="00354003">
              <w:rPr>
                <w:rFonts w:cs="Arial"/>
                <w:sz w:val="20"/>
              </w:rPr>
              <w:t xml:space="preserve">SRI and ESG issues and in particular the legal framework around fiduciary duties and the issue of disinvestment.  Members again acknowledged that the primary aim of the Fund's investment strategy was to secure the best possible return and it was agreed that disinvestment was not an option which should be pursued by the Fund at this </w:t>
            </w:r>
            <w:r w:rsidR="003D0CA0">
              <w:rPr>
                <w:rFonts w:cs="Arial"/>
                <w:sz w:val="20"/>
              </w:rPr>
              <w:t>moment</w:t>
            </w:r>
            <w:r w:rsidRPr="00354003">
              <w:rPr>
                <w:rFonts w:cs="Arial"/>
                <w:sz w:val="20"/>
              </w:rPr>
              <w:t>.</w:t>
            </w:r>
          </w:p>
        </w:tc>
      </w:tr>
      <w:tr w:rsidR="00E31095" w:rsidRPr="005944BF" w:rsidTr="00D61685">
        <w:trPr>
          <w:trHeight w:val="570"/>
        </w:trPr>
        <w:tc>
          <w:tcPr>
            <w:tcW w:w="1763" w:type="dxa"/>
            <w:vAlign w:val="center"/>
          </w:tcPr>
          <w:p w:rsidR="00E31095" w:rsidRPr="00354003" w:rsidRDefault="00E31095" w:rsidP="005944BF">
            <w:pPr>
              <w:autoSpaceDE w:val="0"/>
              <w:autoSpaceDN w:val="0"/>
              <w:adjustRightInd w:val="0"/>
              <w:rPr>
                <w:rFonts w:cs="Arial"/>
                <w:sz w:val="20"/>
              </w:rPr>
            </w:pPr>
            <w:r w:rsidRPr="00354003">
              <w:rPr>
                <w:rFonts w:cs="Arial"/>
                <w:sz w:val="20"/>
              </w:rPr>
              <w:t>Action 3</w:t>
            </w:r>
          </w:p>
        </w:tc>
        <w:tc>
          <w:tcPr>
            <w:tcW w:w="12187" w:type="dxa"/>
            <w:gridSpan w:val="7"/>
            <w:vAlign w:val="center"/>
          </w:tcPr>
          <w:p w:rsidR="00E31095" w:rsidRPr="00354003" w:rsidRDefault="00E31095" w:rsidP="00E31095">
            <w:pPr>
              <w:autoSpaceDE w:val="0"/>
              <w:autoSpaceDN w:val="0"/>
              <w:adjustRightInd w:val="0"/>
              <w:rPr>
                <w:rFonts w:cs="Arial"/>
                <w:sz w:val="20"/>
              </w:rPr>
            </w:pPr>
            <w:r w:rsidRPr="00354003">
              <w:rPr>
                <w:rFonts w:cs="Arial"/>
                <w:sz w:val="20"/>
              </w:rPr>
              <w:t>None.</w:t>
            </w:r>
          </w:p>
        </w:tc>
      </w:tr>
      <w:tr w:rsidR="00E31095" w:rsidRPr="006431EF" w:rsidTr="00083269">
        <w:trPr>
          <w:trHeight w:val="548"/>
        </w:trPr>
        <w:tc>
          <w:tcPr>
            <w:tcW w:w="13950" w:type="dxa"/>
            <w:gridSpan w:val="8"/>
            <w:vAlign w:val="center"/>
          </w:tcPr>
          <w:p w:rsidR="00E31095" w:rsidRPr="006431EF" w:rsidRDefault="00E31095" w:rsidP="00E31095">
            <w:pPr>
              <w:rPr>
                <w:rFonts w:cs="Arial"/>
                <w:b/>
                <w:sz w:val="20"/>
              </w:rPr>
            </w:pPr>
            <w:r w:rsidRPr="006431EF">
              <w:rPr>
                <w:rFonts w:cs="Arial"/>
                <w:b/>
                <w:sz w:val="20"/>
              </w:rPr>
              <w:t>Existing investment activity</w:t>
            </w:r>
          </w:p>
        </w:tc>
      </w:tr>
      <w:tr w:rsidR="00E31095" w:rsidRPr="006431EF" w:rsidTr="009D135D">
        <w:trPr>
          <w:trHeight w:val="1139"/>
        </w:trPr>
        <w:tc>
          <w:tcPr>
            <w:tcW w:w="13950" w:type="dxa"/>
            <w:gridSpan w:val="8"/>
          </w:tcPr>
          <w:p w:rsidR="00E31095" w:rsidRPr="006431EF" w:rsidRDefault="00E31095" w:rsidP="00E31095">
            <w:pPr>
              <w:rPr>
                <w:rFonts w:cs="Arial"/>
                <w:sz w:val="20"/>
              </w:rPr>
            </w:pPr>
            <w:r w:rsidRPr="006431EF">
              <w:rPr>
                <w:rFonts w:cs="Arial"/>
                <w:sz w:val="20"/>
              </w:rPr>
              <w:t>Outcome 4</w:t>
            </w:r>
          </w:p>
          <w:p w:rsidR="00E31095" w:rsidRPr="006431EF" w:rsidRDefault="00E31095" w:rsidP="00E31095">
            <w:pPr>
              <w:rPr>
                <w:rFonts w:cs="Arial"/>
                <w:sz w:val="20"/>
              </w:rPr>
            </w:pPr>
            <w:r w:rsidRPr="006431EF">
              <w:rPr>
                <w:rFonts w:cs="Arial"/>
                <w:sz w:val="20"/>
              </w:rPr>
              <w:t>The Working Group encouraged the taking of specific steps or actions to reduce carbon production within the Fund's portfolio - for example, within the property portfolio. In addition, the Group supported the continued identification of good investment opportunities and the making of investments that provide appropriate returns and which may possess certain 'green' or clean energy characteristics.</w:t>
            </w:r>
          </w:p>
          <w:p w:rsidR="00E31095" w:rsidRPr="006431EF" w:rsidRDefault="00E31095" w:rsidP="00E31095">
            <w:pPr>
              <w:jc w:val="center"/>
              <w:rPr>
                <w:rFonts w:cs="Arial"/>
                <w:sz w:val="20"/>
              </w:rPr>
            </w:pPr>
          </w:p>
        </w:tc>
      </w:tr>
      <w:tr w:rsidR="00E31095" w:rsidRPr="00FF636F" w:rsidTr="000A5208">
        <w:tc>
          <w:tcPr>
            <w:tcW w:w="1763" w:type="dxa"/>
            <w:vAlign w:val="center"/>
          </w:tcPr>
          <w:p w:rsidR="00E31095" w:rsidRPr="00FF636F" w:rsidRDefault="00E31095" w:rsidP="000A65F0">
            <w:pPr>
              <w:autoSpaceDE w:val="0"/>
              <w:autoSpaceDN w:val="0"/>
              <w:adjustRightInd w:val="0"/>
              <w:rPr>
                <w:rFonts w:cs="Arial"/>
                <w:sz w:val="20"/>
              </w:rPr>
            </w:pPr>
            <w:r w:rsidRPr="00FF636F">
              <w:rPr>
                <w:rFonts w:cs="Arial"/>
                <w:sz w:val="20"/>
              </w:rPr>
              <w:t>Action 4</w:t>
            </w:r>
          </w:p>
        </w:tc>
        <w:tc>
          <w:tcPr>
            <w:tcW w:w="3241" w:type="dxa"/>
            <w:vAlign w:val="center"/>
          </w:tcPr>
          <w:p w:rsidR="00E31095" w:rsidRPr="00FF636F" w:rsidRDefault="00E31095" w:rsidP="000A65F0">
            <w:pPr>
              <w:autoSpaceDE w:val="0"/>
              <w:autoSpaceDN w:val="0"/>
              <w:adjustRightInd w:val="0"/>
              <w:rPr>
                <w:rFonts w:cs="Arial"/>
                <w:sz w:val="20"/>
              </w:rPr>
            </w:pPr>
            <w:r w:rsidRPr="00FF636F">
              <w:rPr>
                <w:rFonts w:cs="Arial"/>
                <w:sz w:val="20"/>
              </w:rPr>
              <w:t>Reduce carbon footprint of LCPF property portfolio wherever possible</w:t>
            </w:r>
          </w:p>
        </w:tc>
        <w:tc>
          <w:tcPr>
            <w:tcW w:w="2246" w:type="dxa"/>
            <w:vAlign w:val="center"/>
          </w:tcPr>
          <w:p w:rsidR="00E31095" w:rsidRPr="00FF636F" w:rsidRDefault="00E31095" w:rsidP="000A65F0">
            <w:pPr>
              <w:autoSpaceDE w:val="0"/>
              <w:autoSpaceDN w:val="0"/>
              <w:adjustRightInd w:val="0"/>
              <w:rPr>
                <w:rFonts w:cs="Arial"/>
                <w:sz w:val="20"/>
              </w:rPr>
            </w:pPr>
            <w:r w:rsidRPr="00FF636F">
              <w:rPr>
                <w:rFonts w:cs="Arial"/>
                <w:sz w:val="20"/>
              </w:rPr>
              <w:t>Specification/ procurement/ installation</w:t>
            </w:r>
          </w:p>
        </w:tc>
        <w:tc>
          <w:tcPr>
            <w:tcW w:w="1817" w:type="dxa"/>
            <w:vAlign w:val="center"/>
          </w:tcPr>
          <w:p w:rsidR="00E31095" w:rsidRPr="00FF636F" w:rsidRDefault="00E31095" w:rsidP="000A65F0">
            <w:pPr>
              <w:autoSpaceDE w:val="0"/>
              <w:autoSpaceDN w:val="0"/>
              <w:adjustRightInd w:val="0"/>
              <w:rPr>
                <w:rFonts w:cs="Arial"/>
                <w:sz w:val="20"/>
              </w:rPr>
            </w:pPr>
            <w:r w:rsidRPr="00FF636F">
              <w:rPr>
                <w:rFonts w:cs="Arial"/>
                <w:sz w:val="20"/>
              </w:rPr>
              <w:t xml:space="preserve">Dependent on options </w:t>
            </w:r>
          </w:p>
        </w:tc>
        <w:tc>
          <w:tcPr>
            <w:tcW w:w="1982" w:type="dxa"/>
            <w:gridSpan w:val="2"/>
            <w:vAlign w:val="center"/>
          </w:tcPr>
          <w:p w:rsidR="00E31095" w:rsidRPr="00FF636F" w:rsidRDefault="00E31095" w:rsidP="000A65F0">
            <w:pPr>
              <w:autoSpaceDE w:val="0"/>
              <w:autoSpaceDN w:val="0"/>
              <w:adjustRightInd w:val="0"/>
              <w:rPr>
                <w:rFonts w:cs="Arial"/>
                <w:sz w:val="20"/>
              </w:rPr>
            </w:pPr>
            <w:r w:rsidRPr="00FF636F">
              <w:rPr>
                <w:rFonts w:cs="Arial"/>
                <w:sz w:val="20"/>
              </w:rPr>
              <w:t>Ongoing</w:t>
            </w:r>
          </w:p>
        </w:tc>
        <w:tc>
          <w:tcPr>
            <w:tcW w:w="1496" w:type="dxa"/>
            <w:vAlign w:val="center"/>
          </w:tcPr>
          <w:p w:rsidR="00E31095" w:rsidRPr="00FF636F" w:rsidRDefault="00E31095" w:rsidP="00E31095">
            <w:pPr>
              <w:autoSpaceDE w:val="0"/>
              <w:autoSpaceDN w:val="0"/>
              <w:adjustRightInd w:val="0"/>
              <w:jc w:val="center"/>
              <w:rPr>
                <w:rFonts w:cs="Arial"/>
                <w:sz w:val="20"/>
              </w:rPr>
            </w:pPr>
            <w:r w:rsidRPr="00FF636F">
              <w:rPr>
                <w:rFonts w:cs="Arial"/>
                <w:sz w:val="20"/>
              </w:rPr>
              <w:t>Difficult</w:t>
            </w:r>
          </w:p>
        </w:tc>
        <w:tc>
          <w:tcPr>
            <w:tcW w:w="1405" w:type="dxa"/>
            <w:vAlign w:val="center"/>
          </w:tcPr>
          <w:p w:rsidR="00E31095" w:rsidRPr="00FF636F" w:rsidRDefault="00267F89" w:rsidP="000A5208">
            <w:pPr>
              <w:autoSpaceDE w:val="0"/>
              <w:autoSpaceDN w:val="0"/>
              <w:adjustRightInd w:val="0"/>
              <w:jc w:val="center"/>
              <w:rPr>
                <w:rFonts w:cs="Arial"/>
                <w:sz w:val="20"/>
              </w:rPr>
            </w:pPr>
            <w:r>
              <w:rPr>
                <w:rFonts w:cs="Arial"/>
                <w:sz w:val="20"/>
              </w:rPr>
              <w:t>Medium</w:t>
            </w:r>
          </w:p>
        </w:tc>
      </w:tr>
      <w:tr w:rsidR="00E31095" w:rsidRPr="005A1F6C" w:rsidTr="00586D9B">
        <w:trPr>
          <w:trHeight w:val="558"/>
        </w:trPr>
        <w:tc>
          <w:tcPr>
            <w:tcW w:w="1763" w:type="dxa"/>
            <w:vAlign w:val="center"/>
          </w:tcPr>
          <w:p w:rsidR="00E31095" w:rsidRPr="005A1F6C" w:rsidRDefault="00E31095" w:rsidP="000A65F0">
            <w:pPr>
              <w:autoSpaceDE w:val="0"/>
              <w:autoSpaceDN w:val="0"/>
              <w:adjustRightInd w:val="0"/>
              <w:rPr>
                <w:rFonts w:cs="Arial"/>
                <w:b/>
                <w:sz w:val="20"/>
              </w:rPr>
            </w:pPr>
            <w:r w:rsidRPr="005A1F6C">
              <w:rPr>
                <w:rFonts w:cs="Arial"/>
                <w:b/>
                <w:sz w:val="20"/>
              </w:rPr>
              <w:lastRenderedPageBreak/>
              <w:t>Area</w:t>
            </w:r>
          </w:p>
        </w:tc>
        <w:tc>
          <w:tcPr>
            <w:tcW w:w="3241" w:type="dxa"/>
            <w:vAlign w:val="center"/>
          </w:tcPr>
          <w:p w:rsidR="00E31095" w:rsidRPr="005A1F6C" w:rsidRDefault="00E31095" w:rsidP="000A65F0">
            <w:pPr>
              <w:autoSpaceDE w:val="0"/>
              <w:autoSpaceDN w:val="0"/>
              <w:adjustRightInd w:val="0"/>
              <w:jc w:val="center"/>
              <w:rPr>
                <w:rFonts w:cs="Arial"/>
                <w:b/>
                <w:sz w:val="20"/>
              </w:rPr>
            </w:pPr>
            <w:r w:rsidRPr="005A1F6C">
              <w:rPr>
                <w:rFonts w:cs="Arial"/>
                <w:b/>
                <w:sz w:val="20"/>
              </w:rPr>
              <w:t>Option</w:t>
            </w:r>
          </w:p>
        </w:tc>
        <w:tc>
          <w:tcPr>
            <w:tcW w:w="2246" w:type="dxa"/>
            <w:vAlign w:val="center"/>
          </w:tcPr>
          <w:p w:rsidR="00E31095" w:rsidRPr="005A1F6C" w:rsidRDefault="00E31095" w:rsidP="000A65F0">
            <w:pPr>
              <w:autoSpaceDE w:val="0"/>
              <w:autoSpaceDN w:val="0"/>
              <w:adjustRightInd w:val="0"/>
              <w:jc w:val="center"/>
              <w:rPr>
                <w:rFonts w:cs="Arial"/>
                <w:b/>
                <w:sz w:val="20"/>
              </w:rPr>
            </w:pPr>
            <w:r w:rsidRPr="005A1F6C">
              <w:rPr>
                <w:rFonts w:cs="Arial"/>
                <w:b/>
                <w:sz w:val="20"/>
              </w:rPr>
              <w:t>Resources</w:t>
            </w:r>
          </w:p>
        </w:tc>
        <w:tc>
          <w:tcPr>
            <w:tcW w:w="1817" w:type="dxa"/>
            <w:vAlign w:val="center"/>
          </w:tcPr>
          <w:p w:rsidR="00E31095" w:rsidRPr="005A1F6C" w:rsidRDefault="00E31095" w:rsidP="000A65F0">
            <w:pPr>
              <w:autoSpaceDE w:val="0"/>
              <w:autoSpaceDN w:val="0"/>
              <w:adjustRightInd w:val="0"/>
              <w:jc w:val="center"/>
              <w:rPr>
                <w:rFonts w:cs="Arial"/>
                <w:b/>
                <w:sz w:val="20"/>
              </w:rPr>
            </w:pPr>
            <w:r w:rsidRPr="005A1F6C">
              <w:rPr>
                <w:rFonts w:cs="Arial"/>
                <w:b/>
                <w:sz w:val="20"/>
              </w:rPr>
              <w:t>Direct Cost £</w:t>
            </w:r>
          </w:p>
        </w:tc>
        <w:tc>
          <w:tcPr>
            <w:tcW w:w="1982" w:type="dxa"/>
            <w:gridSpan w:val="2"/>
            <w:vAlign w:val="center"/>
          </w:tcPr>
          <w:p w:rsidR="00E31095" w:rsidRPr="005A1F6C" w:rsidRDefault="00E31095" w:rsidP="000A65F0">
            <w:pPr>
              <w:autoSpaceDE w:val="0"/>
              <w:autoSpaceDN w:val="0"/>
              <w:adjustRightInd w:val="0"/>
              <w:jc w:val="center"/>
              <w:rPr>
                <w:rFonts w:cs="Arial"/>
                <w:b/>
                <w:sz w:val="20"/>
              </w:rPr>
            </w:pPr>
            <w:r w:rsidRPr="005A1F6C">
              <w:rPr>
                <w:rFonts w:cs="Arial"/>
                <w:b/>
                <w:sz w:val="20"/>
              </w:rPr>
              <w:t>Timescale</w:t>
            </w:r>
          </w:p>
        </w:tc>
        <w:tc>
          <w:tcPr>
            <w:tcW w:w="1496" w:type="dxa"/>
            <w:vAlign w:val="center"/>
          </w:tcPr>
          <w:p w:rsidR="00E31095" w:rsidRPr="005A1F6C" w:rsidRDefault="00E31095" w:rsidP="00E31095">
            <w:pPr>
              <w:autoSpaceDE w:val="0"/>
              <w:autoSpaceDN w:val="0"/>
              <w:adjustRightInd w:val="0"/>
              <w:jc w:val="center"/>
              <w:rPr>
                <w:rFonts w:cs="Arial"/>
                <w:b/>
                <w:sz w:val="20"/>
              </w:rPr>
            </w:pPr>
            <w:r w:rsidRPr="005A1F6C">
              <w:rPr>
                <w:rFonts w:cs="Arial"/>
                <w:b/>
                <w:sz w:val="20"/>
              </w:rPr>
              <w:t>Ease to achieve</w:t>
            </w:r>
          </w:p>
        </w:tc>
        <w:tc>
          <w:tcPr>
            <w:tcW w:w="1405" w:type="dxa"/>
            <w:vAlign w:val="center"/>
          </w:tcPr>
          <w:p w:rsidR="00E31095" w:rsidRPr="005A1F6C" w:rsidRDefault="00E31095" w:rsidP="00586D9B">
            <w:pPr>
              <w:autoSpaceDE w:val="0"/>
              <w:autoSpaceDN w:val="0"/>
              <w:adjustRightInd w:val="0"/>
              <w:jc w:val="center"/>
              <w:rPr>
                <w:rFonts w:cs="Arial"/>
                <w:b/>
                <w:sz w:val="20"/>
              </w:rPr>
            </w:pPr>
            <w:r>
              <w:rPr>
                <w:rFonts w:cs="Arial"/>
                <w:b/>
                <w:sz w:val="20"/>
              </w:rPr>
              <w:t>Priority</w:t>
            </w:r>
          </w:p>
        </w:tc>
      </w:tr>
      <w:tr w:rsidR="00E31095" w:rsidRPr="005944BF" w:rsidTr="00881AC9">
        <w:trPr>
          <w:trHeight w:val="541"/>
        </w:trPr>
        <w:tc>
          <w:tcPr>
            <w:tcW w:w="13950" w:type="dxa"/>
            <w:gridSpan w:val="8"/>
            <w:vAlign w:val="center"/>
          </w:tcPr>
          <w:p w:rsidR="00E31095" w:rsidRPr="00FF636F" w:rsidRDefault="00E31095" w:rsidP="00E31095">
            <w:pPr>
              <w:autoSpaceDE w:val="0"/>
              <w:autoSpaceDN w:val="0"/>
              <w:adjustRightInd w:val="0"/>
              <w:rPr>
                <w:rFonts w:cs="Arial"/>
                <w:b/>
                <w:sz w:val="20"/>
              </w:rPr>
            </w:pPr>
            <w:r w:rsidRPr="00FF636F">
              <w:rPr>
                <w:rFonts w:cs="Arial"/>
                <w:b/>
                <w:sz w:val="20"/>
              </w:rPr>
              <w:t>Governance and policy</w:t>
            </w:r>
          </w:p>
        </w:tc>
      </w:tr>
      <w:tr w:rsidR="00E31095" w:rsidRPr="005944BF" w:rsidTr="00C643C6">
        <w:tc>
          <w:tcPr>
            <w:tcW w:w="13950" w:type="dxa"/>
            <w:gridSpan w:val="8"/>
          </w:tcPr>
          <w:p w:rsidR="00E31095" w:rsidRPr="00FF636F" w:rsidRDefault="00E31095" w:rsidP="00E31095">
            <w:pPr>
              <w:autoSpaceDE w:val="0"/>
              <w:autoSpaceDN w:val="0"/>
              <w:adjustRightInd w:val="0"/>
              <w:rPr>
                <w:rFonts w:cs="Arial"/>
                <w:sz w:val="20"/>
              </w:rPr>
            </w:pPr>
            <w:r w:rsidRPr="00FF636F">
              <w:rPr>
                <w:rFonts w:cs="Arial"/>
                <w:sz w:val="20"/>
              </w:rPr>
              <w:t>Outcome 5</w:t>
            </w:r>
          </w:p>
          <w:p w:rsidR="00E31095" w:rsidRPr="00FF636F" w:rsidRDefault="00E31095" w:rsidP="00E31095">
            <w:pPr>
              <w:autoSpaceDE w:val="0"/>
              <w:autoSpaceDN w:val="0"/>
              <w:adjustRightInd w:val="0"/>
              <w:rPr>
                <w:rFonts w:cs="Arial"/>
                <w:sz w:val="20"/>
              </w:rPr>
            </w:pPr>
            <w:r w:rsidRPr="00FF636F">
              <w:rPr>
                <w:rFonts w:cs="Arial"/>
                <w:sz w:val="20"/>
              </w:rPr>
              <w:t>The Working Group recommend the establishment by the Fund of a Responsible Investment Policy based on the Policy Tool produced by UNPRI, and subsequently work towards the adoption of the UN Principles.</w:t>
            </w:r>
          </w:p>
        </w:tc>
      </w:tr>
      <w:tr w:rsidR="00E31095" w:rsidRPr="005944BF" w:rsidTr="000A5208">
        <w:trPr>
          <w:trHeight w:val="724"/>
        </w:trPr>
        <w:tc>
          <w:tcPr>
            <w:tcW w:w="1763" w:type="dxa"/>
            <w:vAlign w:val="center"/>
          </w:tcPr>
          <w:p w:rsidR="00E31095" w:rsidRPr="00784C2F" w:rsidRDefault="00E31095" w:rsidP="005944BF">
            <w:pPr>
              <w:autoSpaceDE w:val="0"/>
              <w:autoSpaceDN w:val="0"/>
              <w:adjustRightInd w:val="0"/>
              <w:rPr>
                <w:rFonts w:cs="Arial"/>
                <w:sz w:val="20"/>
              </w:rPr>
            </w:pPr>
            <w:r w:rsidRPr="00784C2F">
              <w:rPr>
                <w:rFonts w:cs="Arial"/>
                <w:sz w:val="20"/>
              </w:rPr>
              <w:t>Action 5a</w:t>
            </w:r>
          </w:p>
        </w:tc>
        <w:tc>
          <w:tcPr>
            <w:tcW w:w="3241" w:type="dxa"/>
            <w:vAlign w:val="center"/>
          </w:tcPr>
          <w:p w:rsidR="00E31095" w:rsidRPr="00784C2F" w:rsidRDefault="00E31095" w:rsidP="005944BF">
            <w:pPr>
              <w:autoSpaceDE w:val="0"/>
              <w:autoSpaceDN w:val="0"/>
              <w:adjustRightInd w:val="0"/>
              <w:rPr>
                <w:rFonts w:cs="Arial"/>
                <w:sz w:val="20"/>
              </w:rPr>
            </w:pPr>
            <w:r w:rsidRPr="00784C2F">
              <w:rPr>
                <w:rFonts w:cs="Arial"/>
                <w:sz w:val="20"/>
              </w:rPr>
              <w:t>Create a Responsible Investment Policy for the Fund</w:t>
            </w:r>
          </w:p>
        </w:tc>
        <w:tc>
          <w:tcPr>
            <w:tcW w:w="2246" w:type="dxa"/>
            <w:vAlign w:val="center"/>
          </w:tcPr>
          <w:p w:rsidR="00E31095" w:rsidRPr="00784C2F" w:rsidRDefault="00E31095" w:rsidP="005944BF">
            <w:pPr>
              <w:autoSpaceDE w:val="0"/>
              <w:autoSpaceDN w:val="0"/>
              <w:adjustRightInd w:val="0"/>
              <w:rPr>
                <w:rFonts w:cs="Arial"/>
                <w:sz w:val="20"/>
              </w:rPr>
            </w:pPr>
            <w:r w:rsidRPr="00784C2F">
              <w:rPr>
                <w:rFonts w:cs="Arial"/>
                <w:sz w:val="20"/>
              </w:rPr>
              <w:t>Officer time</w:t>
            </w:r>
          </w:p>
        </w:tc>
        <w:tc>
          <w:tcPr>
            <w:tcW w:w="1817" w:type="dxa"/>
            <w:vAlign w:val="center"/>
          </w:tcPr>
          <w:p w:rsidR="00E31095" w:rsidRPr="00784C2F" w:rsidRDefault="00E31095" w:rsidP="005944BF">
            <w:pPr>
              <w:autoSpaceDE w:val="0"/>
              <w:autoSpaceDN w:val="0"/>
              <w:adjustRightInd w:val="0"/>
              <w:rPr>
                <w:rFonts w:cs="Arial"/>
                <w:sz w:val="20"/>
              </w:rPr>
            </w:pPr>
            <w:r w:rsidRPr="00784C2F">
              <w:rPr>
                <w:rFonts w:cs="Arial"/>
                <w:sz w:val="20"/>
              </w:rPr>
              <w:t>None</w:t>
            </w:r>
          </w:p>
        </w:tc>
        <w:tc>
          <w:tcPr>
            <w:tcW w:w="1982" w:type="dxa"/>
            <w:gridSpan w:val="2"/>
            <w:vAlign w:val="center"/>
          </w:tcPr>
          <w:p w:rsidR="00E31095" w:rsidRPr="00784C2F" w:rsidRDefault="00E31095" w:rsidP="005944BF">
            <w:pPr>
              <w:autoSpaceDE w:val="0"/>
              <w:autoSpaceDN w:val="0"/>
              <w:adjustRightInd w:val="0"/>
              <w:rPr>
                <w:rFonts w:cs="Arial"/>
                <w:sz w:val="20"/>
              </w:rPr>
            </w:pPr>
            <w:r w:rsidRPr="00784C2F">
              <w:rPr>
                <w:rFonts w:cs="Arial"/>
                <w:sz w:val="20"/>
              </w:rPr>
              <w:t>By 31 December 2014</w:t>
            </w:r>
          </w:p>
        </w:tc>
        <w:tc>
          <w:tcPr>
            <w:tcW w:w="1496" w:type="dxa"/>
            <w:vAlign w:val="center"/>
          </w:tcPr>
          <w:p w:rsidR="00E31095" w:rsidRPr="00784C2F" w:rsidRDefault="00E31095" w:rsidP="00E31095">
            <w:pPr>
              <w:autoSpaceDE w:val="0"/>
              <w:autoSpaceDN w:val="0"/>
              <w:adjustRightInd w:val="0"/>
              <w:jc w:val="center"/>
              <w:rPr>
                <w:rFonts w:cs="Arial"/>
                <w:sz w:val="20"/>
              </w:rPr>
            </w:pPr>
            <w:r w:rsidRPr="00784C2F">
              <w:rPr>
                <w:rFonts w:cs="Arial"/>
                <w:sz w:val="20"/>
              </w:rPr>
              <w:t>Easy</w:t>
            </w:r>
          </w:p>
        </w:tc>
        <w:tc>
          <w:tcPr>
            <w:tcW w:w="1405" w:type="dxa"/>
            <w:vAlign w:val="center"/>
          </w:tcPr>
          <w:p w:rsidR="00E31095" w:rsidRPr="00784C2F" w:rsidRDefault="00267F89" w:rsidP="000A5208">
            <w:pPr>
              <w:autoSpaceDE w:val="0"/>
              <w:autoSpaceDN w:val="0"/>
              <w:adjustRightInd w:val="0"/>
              <w:jc w:val="center"/>
              <w:rPr>
                <w:rFonts w:cs="Arial"/>
                <w:sz w:val="20"/>
              </w:rPr>
            </w:pPr>
            <w:r>
              <w:rPr>
                <w:rFonts w:cs="Arial"/>
                <w:sz w:val="20"/>
              </w:rPr>
              <w:t>High</w:t>
            </w:r>
          </w:p>
        </w:tc>
      </w:tr>
      <w:tr w:rsidR="00E31095" w:rsidRPr="005944BF" w:rsidTr="000A5208">
        <w:trPr>
          <w:trHeight w:val="706"/>
        </w:trPr>
        <w:tc>
          <w:tcPr>
            <w:tcW w:w="1763" w:type="dxa"/>
            <w:vAlign w:val="center"/>
          </w:tcPr>
          <w:p w:rsidR="00E31095" w:rsidRPr="00784C2F" w:rsidRDefault="00E31095" w:rsidP="005944BF">
            <w:pPr>
              <w:autoSpaceDE w:val="0"/>
              <w:autoSpaceDN w:val="0"/>
              <w:adjustRightInd w:val="0"/>
              <w:rPr>
                <w:rFonts w:cs="Arial"/>
                <w:sz w:val="20"/>
              </w:rPr>
            </w:pPr>
            <w:r w:rsidRPr="00784C2F">
              <w:rPr>
                <w:rFonts w:cs="Arial"/>
                <w:sz w:val="20"/>
              </w:rPr>
              <w:t>Action 5b</w:t>
            </w:r>
          </w:p>
        </w:tc>
        <w:tc>
          <w:tcPr>
            <w:tcW w:w="3241" w:type="dxa"/>
            <w:vAlign w:val="center"/>
          </w:tcPr>
          <w:p w:rsidR="00E31095" w:rsidRPr="00784C2F" w:rsidRDefault="00E31095" w:rsidP="005944BF">
            <w:pPr>
              <w:autoSpaceDE w:val="0"/>
              <w:autoSpaceDN w:val="0"/>
              <w:adjustRightInd w:val="0"/>
              <w:rPr>
                <w:rFonts w:cs="Arial"/>
                <w:sz w:val="20"/>
              </w:rPr>
            </w:pPr>
            <w:r w:rsidRPr="00784C2F">
              <w:rPr>
                <w:rFonts w:cs="Arial"/>
                <w:sz w:val="20"/>
              </w:rPr>
              <w:t>Consider signing up to the UN PRI initiative</w:t>
            </w:r>
          </w:p>
        </w:tc>
        <w:tc>
          <w:tcPr>
            <w:tcW w:w="2246" w:type="dxa"/>
            <w:vAlign w:val="center"/>
          </w:tcPr>
          <w:p w:rsidR="00E31095" w:rsidRPr="00784C2F" w:rsidRDefault="00E31095" w:rsidP="005944BF">
            <w:pPr>
              <w:autoSpaceDE w:val="0"/>
              <w:autoSpaceDN w:val="0"/>
              <w:adjustRightInd w:val="0"/>
              <w:rPr>
                <w:rFonts w:cs="Arial"/>
                <w:sz w:val="20"/>
              </w:rPr>
            </w:pPr>
            <w:r w:rsidRPr="00784C2F">
              <w:rPr>
                <w:rFonts w:cs="Arial"/>
                <w:sz w:val="20"/>
              </w:rPr>
              <w:t>Officer time</w:t>
            </w:r>
            <w:r w:rsidRPr="00784C2F">
              <w:rPr>
                <w:rFonts w:cs="Arial"/>
                <w:sz w:val="20"/>
              </w:rPr>
              <w:br/>
              <w:t>Ongoing compliance</w:t>
            </w:r>
          </w:p>
        </w:tc>
        <w:tc>
          <w:tcPr>
            <w:tcW w:w="1817" w:type="dxa"/>
            <w:vAlign w:val="center"/>
          </w:tcPr>
          <w:p w:rsidR="00E31095" w:rsidRPr="00784C2F" w:rsidRDefault="00E31095" w:rsidP="005944BF">
            <w:pPr>
              <w:autoSpaceDE w:val="0"/>
              <w:autoSpaceDN w:val="0"/>
              <w:adjustRightInd w:val="0"/>
              <w:rPr>
                <w:rFonts w:cs="Arial"/>
                <w:sz w:val="20"/>
              </w:rPr>
            </w:pPr>
            <w:r w:rsidRPr="00784C2F">
              <w:rPr>
                <w:rFonts w:cs="Arial"/>
                <w:sz w:val="20"/>
              </w:rPr>
              <w:t>£5,640 p.a.</w:t>
            </w:r>
          </w:p>
        </w:tc>
        <w:tc>
          <w:tcPr>
            <w:tcW w:w="1982" w:type="dxa"/>
            <w:gridSpan w:val="2"/>
            <w:vAlign w:val="center"/>
          </w:tcPr>
          <w:p w:rsidR="00E31095" w:rsidRPr="00784C2F" w:rsidRDefault="00E31095" w:rsidP="005944BF">
            <w:pPr>
              <w:autoSpaceDE w:val="0"/>
              <w:autoSpaceDN w:val="0"/>
              <w:adjustRightInd w:val="0"/>
              <w:rPr>
                <w:rFonts w:cs="Arial"/>
                <w:sz w:val="20"/>
              </w:rPr>
            </w:pPr>
            <w:r w:rsidRPr="00784C2F">
              <w:rPr>
                <w:rFonts w:cs="Arial"/>
                <w:sz w:val="20"/>
              </w:rPr>
              <w:t>Sign up by 31 March 2015</w:t>
            </w:r>
          </w:p>
        </w:tc>
        <w:tc>
          <w:tcPr>
            <w:tcW w:w="1496" w:type="dxa"/>
            <w:vAlign w:val="center"/>
          </w:tcPr>
          <w:p w:rsidR="00E31095" w:rsidRPr="00784C2F" w:rsidRDefault="00E31095" w:rsidP="00E31095">
            <w:pPr>
              <w:autoSpaceDE w:val="0"/>
              <w:autoSpaceDN w:val="0"/>
              <w:adjustRightInd w:val="0"/>
              <w:jc w:val="center"/>
              <w:rPr>
                <w:rFonts w:cs="Arial"/>
                <w:sz w:val="20"/>
              </w:rPr>
            </w:pPr>
            <w:r w:rsidRPr="00784C2F">
              <w:rPr>
                <w:rFonts w:cs="Arial"/>
                <w:sz w:val="20"/>
              </w:rPr>
              <w:t xml:space="preserve">Sign-up – </w:t>
            </w:r>
            <w:r>
              <w:rPr>
                <w:rFonts w:cs="Arial"/>
                <w:sz w:val="20"/>
              </w:rPr>
              <w:t>e</w:t>
            </w:r>
            <w:r w:rsidRPr="00784C2F">
              <w:rPr>
                <w:rFonts w:cs="Arial"/>
                <w:sz w:val="20"/>
              </w:rPr>
              <w:t>asy</w:t>
            </w:r>
            <w:r w:rsidRPr="00784C2F">
              <w:rPr>
                <w:rFonts w:cs="Arial"/>
                <w:sz w:val="20"/>
              </w:rPr>
              <w:br/>
              <w:t>Monitoring - moderate</w:t>
            </w:r>
          </w:p>
        </w:tc>
        <w:tc>
          <w:tcPr>
            <w:tcW w:w="1405" w:type="dxa"/>
            <w:vAlign w:val="center"/>
          </w:tcPr>
          <w:p w:rsidR="00E31095" w:rsidRPr="00784C2F" w:rsidRDefault="00267F89" w:rsidP="000A5208">
            <w:pPr>
              <w:autoSpaceDE w:val="0"/>
              <w:autoSpaceDN w:val="0"/>
              <w:adjustRightInd w:val="0"/>
              <w:jc w:val="center"/>
              <w:rPr>
                <w:rFonts w:cs="Arial"/>
                <w:sz w:val="20"/>
              </w:rPr>
            </w:pPr>
            <w:r>
              <w:rPr>
                <w:rFonts w:cs="Arial"/>
                <w:sz w:val="20"/>
              </w:rPr>
              <w:t>Medium</w:t>
            </w:r>
          </w:p>
        </w:tc>
      </w:tr>
      <w:tr w:rsidR="00E31095" w:rsidRPr="005944BF" w:rsidTr="00065D5D">
        <w:tc>
          <w:tcPr>
            <w:tcW w:w="13950" w:type="dxa"/>
            <w:gridSpan w:val="8"/>
          </w:tcPr>
          <w:p w:rsidR="00E31095" w:rsidRPr="00784C2F" w:rsidRDefault="00E31095" w:rsidP="00E31095">
            <w:pPr>
              <w:autoSpaceDE w:val="0"/>
              <w:autoSpaceDN w:val="0"/>
              <w:adjustRightInd w:val="0"/>
              <w:rPr>
                <w:rFonts w:cs="Arial"/>
                <w:sz w:val="20"/>
              </w:rPr>
            </w:pPr>
            <w:r w:rsidRPr="00784C2F">
              <w:rPr>
                <w:rFonts w:cs="Arial"/>
                <w:sz w:val="20"/>
              </w:rPr>
              <w:t>Outcome 6</w:t>
            </w:r>
          </w:p>
          <w:p w:rsidR="00E31095" w:rsidRPr="00784C2F" w:rsidRDefault="00E31095" w:rsidP="00E31095">
            <w:pPr>
              <w:autoSpaceDE w:val="0"/>
              <w:autoSpaceDN w:val="0"/>
              <w:adjustRightInd w:val="0"/>
              <w:rPr>
                <w:rFonts w:cs="Arial"/>
                <w:sz w:val="20"/>
              </w:rPr>
            </w:pPr>
            <w:r w:rsidRPr="00784C2F">
              <w:rPr>
                <w:rFonts w:cs="Arial"/>
                <w:sz w:val="20"/>
              </w:rPr>
              <w:t>A proposal for revised SRI wording within the SIP should be produced.</w:t>
            </w:r>
          </w:p>
        </w:tc>
      </w:tr>
      <w:tr w:rsidR="00E31095" w:rsidRPr="005944BF" w:rsidTr="000A5208">
        <w:tc>
          <w:tcPr>
            <w:tcW w:w="1763" w:type="dxa"/>
            <w:vAlign w:val="center"/>
          </w:tcPr>
          <w:p w:rsidR="00E31095" w:rsidRPr="005944BF" w:rsidRDefault="00E31095" w:rsidP="005944BF">
            <w:pPr>
              <w:autoSpaceDE w:val="0"/>
              <w:autoSpaceDN w:val="0"/>
              <w:adjustRightInd w:val="0"/>
              <w:rPr>
                <w:rFonts w:cs="Arial"/>
                <w:color w:val="FF0000"/>
                <w:sz w:val="20"/>
              </w:rPr>
            </w:pPr>
            <w:r w:rsidRPr="00784C2F">
              <w:rPr>
                <w:rFonts w:cs="Arial"/>
                <w:sz w:val="20"/>
              </w:rPr>
              <w:t>Action 6</w:t>
            </w:r>
          </w:p>
        </w:tc>
        <w:tc>
          <w:tcPr>
            <w:tcW w:w="3241" w:type="dxa"/>
            <w:vAlign w:val="center"/>
          </w:tcPr>
          <w:p w:rsidR="00E31095" w:rsidRPr="00784C2F" w:rsidRDefault="00E31095" w:rsidP="00EB740F">
            <w:pPr>
              <w:autoSpaceDE w:val="0"/>
              <w:autoSpaceDN w:val="0"/>
              <w:adjustRightInd w:val="0"/>
              <w:rPr>
                <w:rFonts w:cs="Arial"/>
                <w:sz w:val="20"/>
              </w:rPr>
            </w:pPr>
            <w:r w:rsidRPr="00784C2F">
              <w:rPr>
                <w:rFonts w:cs="Arial"/>
                <w:sz w:val="20"/>
              </w:rPr>
              <w:t>Rewrite Statement of Investment Principles section on RI/ ESG</w:t>
            </w:r>
          </w:p>
        </w:tc>
        <w:tc>
          <w:tcPr>
            <w:tcW w:w="2246" w:type="dxa"/>
            <w:vAlign w:val="center"/>
          </w:tcPr>
          <w:p w:rsidR="00E31095" w:rsidRPr="00784C2F" w:rsidRDefault="00E31095" w:rsidP="005944BF">
            <w:pPr>
              <w:autoSpaceDE w:val="0"/>
              <w:autoSpaceDN w:val="0"/>
              <w:adjustRightInd w:val="0"/>
              <w:rPr>
                <w:rFonts w:cs="Arial"/>
                <w:sz w:val="20"/>
              </w:rPr>
            </w:pPr>
            <w:r w:rsidRPr="00784C2F">
              <w:rPr>
                <w:rFonts w:cs="Arial"/>
                <w:sz w:val="20"/>
              </w:rPr>
              <w:t>Officer time</w:t>
            </w:r>
          </w:p>
        </w:tc>
        <w:tc>
          <w:tcPr>
            <w:tcW w:w="1817" w:type="dxa"/>
            <w:vAlign w:val="center"/>
          </w:tcPr>
          <w:p w:rsidR="00E31095" w:rsidRPr="00784C2F" w:rsidRDefault="00E31095" w:rsidP="005944BF">
            <w:pPr>
              <w:autoSpaceDE w:val="0"/>
              <w:autoSpaceDN w:val="0"/>
              <w:adjustRightInd w:val="0"/>
              <w:rPr>
                <w:rFonts w:cs="Arial"/>
                <w:sz w:val="20"/>
              </w:rPr>
            </w:pPr>
            <w:r w:rsidRPr="00784C2F">
              <w:rPr>
                <w:rFonts w:cs="Arial"/>
                <w:sz w:val="20"/>
              </w:rPr>
              <w:t>None</w:t>
            </w:r>
          </w:p>
        </w:tc>
        <w:tc>
          <w:tcPr>
            <w:tcW w:w="1982" w:type="dxa"/>
            <w:gridSpan w:val="2"/>
            <w:vAlign w:val="center"/>
          </w:tcPr>
          <w:p w:rsidR="00E31095" w:rsidRPr="00784C2F" w:rsidRDefault="00E31095" w:rsidP="005944BF">
            <w:pPr>
              <w:autoSpaceDE w:val="0"/>
              <w:autoSpaceDN w:val="0"/>
              <w:adjustRightInd w:val="0"/>
              <w:rPr>
                <w:rFonts w:cs="Arial"/>
                <w:sz w:val="20"/>
              </w:rPr>
            </w:pPr>
            <w:r w:rsidRPr="00784C2F">
              <w:rPr>
                <w:rFonts w:cs="Arial"/>
                <w:sz w:val="20"/>
              </w:rPr>
              <w:t>Immediate – proposal attached as Appendix B</w:t>
            </w:r>
          </w:p>
        </w:tc>
        <w:tc>
          <w:tcPr>
            <w:tcW w:w="1496" w:type="dxa"/>
            <w:vAlign w:val="center"/>
          </w:tcPr>
          <w:p w:rsidR="00E31095" w:rsidRPr="00784C2F" w:rsidRDefault="00E31095" w:rsidP="00E31095">
            <w:pPr>
              <w:autoSpaceDE w:val="0"/>
              <w:autoSpaceDN w:val="0"/>
              <w:adjustRightInd w:val="0"/>
              <w:jc w:val="center"/>
              <w:rPr>
                <w:rFonts w:cs="Arial"/>
                <w:sz w:val="20"/>
              </w:rPr>
            </w:pPr>
            <w:r w:rsidRPr="00784C2F">
              <w:rPr>
                <w:rFonts w:cs="Arial"/>
                <w:sz w:val="20"/>
              </w:rPr>
              <w:t>Easy</w:t>
            </w:r>
          </w:p>
        </w:tc>
        <w:tc>
          <w:tcPr>
            <w:tcW w:w="1405" w:type="dxa"/>
            <w:vAlign w:val="center"/>
          </w:tcPr>
          <w:p w:rsidR="00E31095" w:rsidRPr="00784C2F" w:rsidRDefault="00267F89" w:rsidP="000A5208">
            <w:pPr>
              <w:autoSpaceDE w:val="0"/>
              <w:autoSpaceDN w:val="0"/>
              <w:adjustRightInd w:val="0"/>
              <w:jc w:val="center"/>
              <w:rPr>
                <w:rFonts w:cs="Arial"/>
                <w:sz w:val="20"/>
              </w:rPr>
            </w:pPr>
            <w:r>
              <w:rPr>
                <w:rFonts w:cs="Arial"/>
                <w:sz w:val="20"/>
              </w:rPr>
              <w:t>High</w:t>
            </w:r>
          </w:p>
        </w:tc>
      </w:tr>
      <w:tr w:rsidR="000A5208" w:rsidRPr="005944BF" w:rsidTr="008A03B8">
        <w:trPr>
          <w:trHeight w:val="477"/>
        </w:trPr>
        <w:tc>
          <w:tcPr>
            <w:tcW w:w="13950" w:type="dxa"/>
            <w:gridSpan w:val="8"/>
            <w:vAlign w:val="center"/>
          </w:tcPr>
          <w:p w:rsidR="000A5208" w:rsidRPr="00784C2F" w:rsidRDefault="000A5208" w:rsidP="000A5208">
            <w:pPr>
              <w:autoSpaceDE w:val="0"/>
              <w:autoSpaceDN w:val="0"/>
              <w:adjustRightInd w:val="0"/>
              <w:rPr>
                <w:rFonts w:cs="Arial"/>
                <w:b/>
                <w:sz w:val="20"/>
              </w:rPr>
            </w:pPr>
            <w:r w:rsidRPr="00784C2F">
              <w:rPr>
                <w:rFonts w:cs="Arial"/>
                <w:b/>
                <w:sz w:val="20"/>
              </w:rPr>
              <w:t>Analysis and monitoring</w:t>
            </w:r>
          </w:p>
        </w:tc>
      </w:tr>
      <w:tr w:rsidR="00E31095" w:rsidRPr="005944BF" w:rsidTr="00742936">
        <w:tc>
          <w:tcPr>
            <w:tcW w:w="13950" w:type="dxa"/>
            <w:gridSpan w:val="8"/>
          </w:tcPr>
          <w:p w:rsidR="00E31095" w:rsidRPr="00784C2F" w:rsidRDefault="00E31095" w:rsidP="00E31095">
            <w:pPr>
              <w:autoSpaceDE w:val="0"/>
              <w:autoSpaceDN w:val="0"/>
              <w:adjustRightInd w:val="0"/>
              <w:rPr>
                <w:rFonts w:cs="Arial"/>
                <w:sz w:val="20"/>
              </w:rPr>
            </w:pPr>
            <w:r w:rsidRPr="00784C2F">
              <w:rPr>
                <w:rFonts w:cs="Arial"/>
                <w:sz w:val="20"/>
              </w:rPr>
              <w:t>Outcome 7</w:t>
            </w:r>
          </w:p>
          <w:p w:rsidR="00E31095" w:rsidRPr="00784C2F" w:rsidRDefault="00E31095" w:rsidP="00E31095">
            <w:pPr>
              <w:autoSpaceDE w:val="0"/>
              <w:autoSpaceDN w:val="0"/>
              <w:adjustRightInd w:val="0"/>
              <w:rPr>
                <w:rFonts w:cs="Arial"/>
                <w:sz w:val="20"/>
              </w:rPr>
            </w:pPr>
            <w:r w:rsidRPr="00784C2F">
              <w:rPr>
                <w:rFonts w:cs="Arial"/>
                <w:sz w:val="20"/>
              </w:rPr>
              <w:t>Investigate the options for procuring/ signing up to an SRI/ ESG monitoring tool/ service.</w:t>
            </w:r>
          </w:p>
        </w:tc>
      </w:tr>
      <w:tr w:rsidR="00E31095" w:rsidRPr="005944BF" w:rsidTr="000A5208">
        <w:trPr>
          <w:trHeight w:val="973"/>
        </w:trPr>
        <w:tc>
          <w:tcPr>
            <w:tcW w:w="1763" w:type="dxa"/>
            <w:vAlign w:val="center"/>
          </w:tcPr>
          <w:p w:rsidR="00E31095" w:rsidRPr="005944BF" w:rsidRDefault="00E31095" w:rsidP="005944BF">
            <w:pPr>
              <w:autoSpaceDE w:val="0"/>
              <w:autoSpaceDN w:val="0"/>
              <w:adjustRightInd w:val="0"/>
              <w:rPr>
                <w:rFonts w:cs="Arial"/>
                <w:color w:val="FF0000"/>
                <w:sz w:val="20"/>
              </w:rPr>
            </w:pPr>
            <w:r w:rsidRPr="00784C2F">
              <w:rPr>
                <w:rFonts w:cs="Arial"/>
                <w:sz w:val="20"/>
              </w:rPr>
              <w:t>Action 7</w:t>
            </w:r>
          </w:p>
        </w:tc>
        <w:tc>
          <w:tcPr>
            <w:tcW w:w="3241" w:type="dxa"/>
            <w:vAlign w:val="center"/>
          </w:tcPr>
          <w:p w:rsidR="00E31095" w:rsidRPr="00784C2F" w:rsidRDefault="00E31095" w:rsidP="00EB740F">
            <w:pPr>
              <w:autoSpaceDE w:val="0"/>
              <w:autoSpaceDN w:val="0"/>
              <w:adjustRightInd w:val="0"/>
              <w:rPr>
                <w:rFonts w:cs="Arial"/>
                <w:sz w:val="20"/>
              </w:rPr>
            </w:pPr>
            <w:r w:rsidRPr="00784C2F">
              <w:rPr>
                <w:rFonts w:cs="Arial"/>
                <w:sz w:val="20"/>
              </w:rPr>
              <w:t>Procure/ sign up to RI/ ESG monitoring tool/ service eg RobecoSAM</w:t>
            </w:r>
          </w:p>
        </w:tc>
        <w:tc>
          <w:tcPr>
            <w:tcW w:w="2246" w:type="dxa"/>
            <w:vAlign w:val="center"/>
          </w:tcPr>
          <w:p w:rsidR="00E31095" w:rsidRPr="00784C2F" w:rsidRDefault="00E31095" w:rsidP="005944BF">
            <w:pPr>
              <w:autoSpaceDE w:val="0"/>
              <w:autoSpaceDN w:val="0"/>
              <w:adjustRightInd w:val="0"/>
              <w:rPr>
                <w:rFonts w:cs="Arial"/>
                <w:sz w:val="20"/>
              </w:rPr>
            </w:pPr>
            <w:r w:rsidRPr="00784C2F">
              <w:rPr>
                <w:rFonts w:cs="Arial"/>
                <w:sz w:val="20"/>
              </w:rPr>
              <w:t>Officer time</w:t>
            </w:r>
          </w:p>
        </w:tc>
        <w:tc>
          <w:tcPr>
            <w:tcW w:w="1817" w:type="dxa"/>
            <w:vAlign w:val="center"/>
          </w:tcPr>
          <w:p w:rsidR="00E31095" w:rsidRPr="00784C2F" w:rsidRDefault="00E31095" w:rsidP="005944BF">
            <w:pPr>
              <w:autoSpaceDE w:val="0"/>
              <w:autoSpaceDN w:val="0"/>
              <w:adjustRightInd w:val="0"/>
              <w:rPr>
                <w:rFonts w:cs="Arial"/>
                <w:sz w:val="20"/>
              </w:rPr>
            </w:pPr>
            <w:r w:rsidRPr="00784C2F">
              <w:rPr>
                <w:rFonts w:cs="Arial"/>
                <w:sz w:val="20"/>
              </w:rPr>
              <w:t>Details awaited</w:t>
            </w:r>
          </w:p>
        </w:tc>
        <w:tc>
          <w:tcPr>
            <w:tcW w:w="1982" w:type="dxa"/>
            <w:gridSpan w:val="2"/>
            <w:vAlign w:val="center"/>
          </w:tcPr>
          <w:p w:rsidR="00E31095" w:rsidRPr="00784C2F" w:rsidRDefault="00E31095" w:rsidP="005944BF">
            <w:pPr>
              <w:autoSpaceDE w:val="0"/>
              <w:autoSpaceDN w:val="0"/>
              <w:adjustRightInd w:val="0"/>
              <w:rPr>
                <w:rFonts w:cs="Arial"/>
                <w:sz w:val="20"/>
              </w:rPr>
            </w:pPr>
            <w:r w:rsidRPr="00784C2F">
              <w:rPr>
                <w:rFonts w:cs="Arial"/>
                <w:sz w:val="20"/>
              </w:rPr>
              <w:t>By 31 March 2015</w:t>
            </w:r>
          </w:p>
        </w:tc>
        <w:tc>
          <w:tcPr>
            <w:tcW w:w="1496" w:type="dxa"/>
            <w:vAlign w:val="center"/>
          </w:tcPr>
          <w:p w:rsidR="00E31095" w:rsidRPr="00784C2F" w:rsidRDefault="00E31095" w:rsidP="00E31095">
            <w:pPr>
              <w:autoSpaceDE w:val="0"/>
              <w:autoSpaceDN w:val="0"/>
              <w:adjustRightInd w:val="0"/>
              <w:jc w:val="center"/>
              <w:rPr>
                <w:rFonts w:cs="Arial"/>
                <w:sz w:val="20"/>
              </w:rPr>
            </w:pPr>
            <w:r w:rsidRPr="00784C2F">
              <w:rPr>
                <w:rFonts w:cs="Arial"/>
                <w:sz w:val="20"/>
              </w:rPr>
              <w:t>Moderate</w:t>
            </w:r>
          </w:p>
        </w:tc>
        <w:tc>
          <w:tcPr>
            <w:tcW w:w="1405" w:type="dxa"/>
            <w:vAlign w:val="center"/>
          </w:tcPr>
          <w:p w:rsidR="00E31095" w:rsidRPr="00784C2F" w:rsidRDefault="00267F89" w:rsidP="000A5208">
            <w:pPr>
              <w:autoSpaceDE w:val="0"/>
              <w:autoSpaceDN w:val="0"/>
              <w:adjustRightInd w:val="0"/>
              <w:jc w:val="center"/>
              <w:rPr>
                <w:rFonts w:cs="Arial"/>
                <w:sz w:val="20"/>
              </w:rPr>
            </w:pPr>
            <w:r>
              <w:rPr>
                <w:rFonts w:cs="Arial"/>
                <w:sz w:val="20"/>
              </w:rPr>
              <w:t>Medium</w:t>
            </w:r>
          </w:p>
        </w:tc>
      </w:tr>
      <w:tr w:rsidR="00E31095" w:rsidRPr="005944BF" w:rsidTr="007201A1">
        <w:tc>
          <w:tcPr>
            <w:tcW w:w="13950" w:type="dxa"/>
            <w:gridSpan w:val="8"/>
          </w:tcPr>
          <w:p w:rsidR="00E31095" w:rsidRPr="00784C2F" w:rsidRDefault="00E31095" w:rsidP="00E31095">
            <w:pPr>
              <w:autoSpaceDE w:val="0"/>
              <w:autoSpaceDN w:val="0"/>
              <w:adjustRightInd w:val="0"/>
              <w:rPr>
                <w:rFonts w:cs="Arial"/>
                <w:sz w:val="20"/>
              </w:rPr>
            </w:pPr>
            <w:r w:rsidRPr="00784C2F">
              <w:rPr>
                <w:rFonts w:cs="Arial"/>
                <w:sz w:val="20"/>
              </w:rPr>
              <w:t>Outcome 8</w:t>
            </w:r>
          </w:p>
          <w:p w:rsidR="00E31095" w:rsidRPr="00784C2F" w:rsidRDefault="00E31095" w:rsidP="00E31095">
            <w:pPr>
              <w:autoSpaceDE w:val="0"/>
              <w:autoSpaceDN w:val="0"/>
              <w:adjustRightInd w:val="0"/>
              <w:rPr>
                <w:rFonts w:cs="Arial"/>
                <w:sz w:val="20"/>
              </w:rPr>
            </w:pPr>
            <w:r w:rsidRPr="00784C2F">
              <w:rPr>
                <w:rFonts w:cs="Arial"/>
                <w:sz w:val="20"/>
              </w:rPr>
              <w:t>Formalise SRI/ ESG discussions with external investment managers as part of ongoing engagement.</w:t>
            </w:r>
          </w:p>
        </w:tc>
      </w:tr>
      <w:tr w:rsidR="00E31095" w:rsidRPr="005944BF" w:rsidTr="000A5208">
        <w:trPr>
          <w:trHeight w:val="938"/>
        </w:trPr>
        <w:tc>
          <w:tcPr>
            <w:tcW w:w="1763" w:type="dxa"/>
            <w:vAlign w:val="center"/>
          </w:tcPr>
          <w:p w:rsidR="00E31095" w:rsidRPr="00784C2F" w:rsidRDefault="00E31095" w:rsidP="005944BF">
            <w:pPr>
              <w:autoSpaceDE w:val="0"/>
              <w:autoSpaceDN w:val="0"/>
              <w:adjustRightInd w:val="0"/>
              <w:rPr>
                <w:rFonts w:cs="Arial"/>
                <w:sz w:val="20"/>
              </w:rPr>
            </w:pPr>
            <w:r w:rsidRPr="00784C2F">
              <w:rPr>
                <w:rFonts w:cs="Arial"/>
                <w:sz w:val="20"/>
              </w:rPr>
              <w:t>Action 8</w:t>
            </w:r>
          </w:p>
        </w:tc>
        <w:tc>
          <w:tcPr>
            <w:tcW w:w="3241" w:type="dxa"/>
            <w:vAlign w:val="center"/>
          </w:tcPr>
          <w:p w:rsidR="00E31095" w:rsidRPr="00784C2F" w:rsidRDefault="00E31095" w:rsidP="005944BF">
            <w:pPr>
              <w:autoSpaceDE w:val="0"/>
              <w:autoSpaceDN w:val="0"/>
              <w:adjustRightInd w:val="0"/>
              <w:rPr>
                <w:rFonts w:cs="Arial"/>
                <w:sz w:val="20"/>
              </w:rPr>
            </w:pPr>
            <w:r w:rsidRPr="00784C2F">
              <w:rPr>
                <w:rFonts w:cs="Arial"/>
                <w:sz w:val="20"/>
              </w:rPr>
              <w:t>Create structured framework for ongoing discussions with external investment managers.</w:t>
            </w:r>
          </w:p>
        </w:tc>
        <w:tc>
          <w:tcPr>
            <w:tcW w:w="2246" w:type="dxa"/>
            <w:vAlign w:val="center"/>
          </w:tcPr>
          <w:p w:rsidR="00E31095" w:rsidRPr="00784C2F" w:rsidRDefault="00E31095" w:rsidP="005944BF">
            <w:pPr>
              <w:autoSpaceDE w:val="0"/>
              <w:autoSpaceDN w:val="0"/>
              <w:adjustRightInd w:val="0"/>
              <w:rPr>
                <w:rFonts w:cs="Arial"/>
                <w:sz w:val="20"/>
              </w:rPr>
            </w:pPr>
            <w:r w:rsidRPr="00784C2F">
              <w:rPr>
                <w:rFonts w:cs="Arial"/>
                <w:sz w:val="20"/>
              </w:rPr>
              <w:t>Officer time</w:t>
            </w:r>
          </w:p>
        </w:tc>
        <w:tc>
          <w:tcPr>
            <w:tcW w:w="1817" w:type="dxa"/>
            <w:vAlign w:val="center"/>
          </w:tcPr>
          <w:p w:rsidR="00E31095" w:rsidRPr="00784C2F" w:rsidRDefault="00E31095" w:rsidP="005944BF">
            <w:pPr>
              <w:autoSpaceDE w:val="0"/>
              <w:autoSpaceDN w:val="0"/>
              <w:adjustRightInd w:val="0"/>
              <w:rPr>
                <w:rFonts w:cs="Arial"/>
                <w:sz w:val="20"/>
              </w:rPr>
            </w:pPr>
            <w:r w:rsidRPr="00784C2F">
              <w:rPr>
                <w:rFonts w:cs="Arial"/>
                <w:sz w:val="20"/>
              </w:rPr>
              <w:t>None</w:t>
            </w:r>
          </w:p>
        </w:tc>
        <w:tc>
          <w:tcPr>
            <w:tcW w:w="1982" w:type="dxa"/>
            <w:gridSpan w:val="2"/>
            <w:vAlign w:val="center"/>
          </w:tcPr>
          <w:p w:rsidR="00E31095" w:rsidRPr="00784C2F" w:rsidRDefault="00E31095" w:rsidP="005944BF">
            <w:pPr>
              <w:autoSpaceDE w:val="0"/>
              <w:autoSpaceDN w:val="0"/>
              <w:adjustRightInd w:val="0"/>
              <w:rPr>
                <w:rFonts w:cs="Arial"/>
                <w:sz w:val="20"/>
              </w:rPr>
            </w:pPr>
            <w:r w:rsidRPr="00784C2F">
              <w:rPr>
                <w:rFonts w:cs="Arial"/>
                <w:sz w:val="20"/>
              </w:rPr>
              <w:t>By 31 December 2014</w:t>
            </w:r>
          </w:p>
        </w:tc>
        <w:tc>
          <w:tcPr>
            <w:tcW w:w="1496" w:type="dxa"/>
            <w:vAlign w:val="center"/>
          </w:tcPr>
          <w:p w:rsidR="00E31095" w:rsidRPr="00784C2F" w:rsidRDefault="00E31095" w:rsidP="00E31095">
            <w:pPr>
              <w:autoSpaceDE w:val="0"/>
              <w:autoSpaceDN w:val="0"/>
              <w:adjustRightInd w:val="0"/>
              <w:jc w:val="center"/>
              <w:rPr>
                <w:rFonts w:cs="Arial"/>
                <w:sz w:val="20"/>
              </w:rPr>
            </w:pPr>
            <w:r w:rsidRPr="00784C2F">
              <w:rPr>
                <w:rFonts w:cs="Arial"/>
                <w:sz w:val="20"/>
              </w:rPr>
              <w:t>Easy</w:t>
            </w:r>
          </w:p>
        </w:tc>
        <w:tc>
          <w:tcPr>
            <w:tcW w:w="1405" w:type="dxa"/>
            <w:vAlign w:val="center"/>
          </w:tcPr>
          <w:p w:rsidR="00E31095" w:rsidRPr="00784C2F" w:rsidRDefault="00267F89" w:rsidP="000A5208">
            <w:pPr>
              <w:autoSpaceDE w:val="0"/>
              <w:autoSpaceDN w:val="0"/>
              <w:adjustRightInd w:val="0"/>
              <w:jc w:val="center"/>
              <w:rPr>
                <w:rFonts w:cs="Arial"/>
                <w:sz w:val="20"/>
              </w:rPr>
            </w:pPr>
            <w:r>
              <w:rPr>
                <w:rFonts w:cs="Arial"/>
                <w:sz w:val="20"/>
              </w:rPr>
              <w:t>Medium</w:t>
            </w:r>
          </w:p>
        </w:tc>
      </w:tr>
    </w:tbl>
    <w:p w:rsidR="00EB30FA" w:rsidRDefault="00EB30FA" w:rsidP="008647FE">
      <w:pPr>
        <w:autoSpaceDE w:val="0"/>
        <w:autoSpaceDN w:val="0"/>
        <w:adjustRightInd w:val="0"/>
        <w:rPr>
          <w:rFonts w:ascii="TT4B78DEo00" w:hAnsi="TT4B78DEo00" w:cs="TT4B78DEo00"/>
          <w:szCs w:val="24"/>
        </w:rPr>
      </w:pPr>
    </w:p>
    <w:sectPr w:rsidR="00EB30FA" w:rsidSect="00470BAC">
      <w:headerReference w:type="default" r:id="rId13"/>
      <w:headerReference w:type="first" r:id="rId14"/>
      <w:footerReference w:type="first" r:id="rId15"/>
      <w:pgSz w:w="16840" w:h="11907" w:orient="landscape" w:code="9"/>
      <w:pgMar w:top="709" w:right="1440" w:bottom="567" w:left="1440" w:header="426" w:footer="306"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B9" w:rsidRDefault="007F06B9">
      <w:r>
        <w:separator/>
      </w:r>
    </w:p>
  </w:endnote>
  <w:endnote w:type="continuationSeparator" w:id="0">
    <w:p w:rsidR="007F06B9" w:rsidRDefault="007F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4B78DE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64484">
      <w:tc>
        <w:tcPr>
          <w:tcW w:w="9243" w:type="dxa"/>
          <w:tcBorders>
            <w:top w:val="nil"/>
            <w:left w:val="nil"/>
            <w:bottom w:val="nil"/>
            <w:right w:val="nil"/>
          </w:tcBorders>
        </w:tcPr>
        <w:p w:rsidR="00764484" w:rsidRDefault="00764484">
          <w:pPr>
            <w:pStyle w:val="Footer"/>
            <w:tabs>
              <w:tab w:val="clear" w:pos="4153"/>
            </w:tabs>
            <w:ind w:right="-45"/>
            <w:jc w:val="right"/>
          </w:pPr>
        </w:p>
      </w:tc>
    </w:tr>
  </w:tbl>
  <w:p w:rsidR="00764484" w:rsidRDefault="00764484">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0D" w:rsidRPr="00A44D68" w:rsidRDefault="0014450D" w:rsidP="0014450D">
    <w:pPr>
      <w:pStyle w:val="Footer"/>
      <w:pBdr>
        <w:top w:val="single" w:sz="4" w:space="1" w:color="auto"/>
      </w:pBdr>
      <w:tabs>
        <w:tab w:val="clear" w:pos="8306"/>
        <w:tab w:val="right" w:pos="14034"/>
      </w:tabs>
      <w:rPr>
        <w:i/>
        <w:sz w:val="20"/>
      </w:rPr>
    </w:pPr>
    <w:r>
      <w:rPr>
        <w:i/>
        <w:sz w:val="20"/>
      </w:rPr>
      <w:t xml:space="preserve">November </w:t>
    </w:r>
    <w:r w:rsidRPr="00A44D68">
      <w:rPr>
        <w:i/>
        <w:sz w:val="20"/>
      </w:rPr>
      <w:t xml:space="preserve">2014 </w:t>
    </w:r>
    <w:r w:rsidRPr="00A44D68">
      <w:rPr>
        <w:i/>
        <w:sz w:val="20"/>
      </w:rPr>
      <w:tab/>
    </w:r>
    <w:r w:rsidRPr="00A44D68">
      <w:rPr>
        <w:i/>
        <w:sz w:val="20"/>
      </w:rPr>
      <w:tab/>
    </w:r>
    <w:r w:rsidRPr="00A44D68">
      <w:rPr>
        <w:i/>
        <w:sz w:val="20"/>
      </w:rPr>
      <w:fldChar w:fldCharType="begin"/>
    </w:r>
    <w:r w:rsidRPr="00A44D68">
      <w:rPr>
        <w:i/>
        <w:sz w:val="20"/>
      </w:rPr>
      <w:instrText xml:space="preserve"> PAGE   \* MERGEFORMAT </w:instrText>
    </w:r>
    <w:r w:rsidRPr="00A44D68">
      <w:rPr>
        <w:i/>
        <w:sz w:val="20"/>
      </w:rPr>
      <w:fldChar w:fldCharType="separate"/>
    </w:r>
    <w:r w:rsidR="008B4321">
      <w:rPr>
        <w:i/>
        <w:noProof/>
        <w:sz w:val="20"/>
      </w:rPr>
      <w:t>2</w:t>
    </w:r>
    <w:r w:rsidRPr="00A44D68">
      <w:rPr>
        <w:i/>
        <w:sz w:val="20"/>
      </w:rPr>
      <w:fldChar w:fldCharType="end"/>
    </w:r>
  </w:p>
  <w:p w:rsidR="00764484" w:rsidRPr="008D43D1" w:rsidRDefault="00764484" w:rsidP="008D4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84" w:rsidRPr="00A44D68" w:rsidRDefault="0014450D" w:rsidP="00A44D68">
    <w:pPr>
      <w:pStyle w:val="Footer"/>
      <w:pBdr>
        <w:top w:val="single" w:sz="4" w:space="1" w:color="auto"/>
      </w:pBdr>
      <w:tabs>
        <w:tab w:val="clear" w:pos="8306"/>
        <w:tab w:val="right" w:pos="14034"/>
      </w:tabs>
      <w:rPr>
        <w:i/>
        <w:sz w:val="20"/>
      </w:rPr>
    </w:pPr>
    <w:r>
      <w:rPr>
        <w:i/>
        <w:sz w:val="20"/>
      </w:rPr>
      <w:t xml:space="preserve">November </w:t>
    </w:r>
    <w:r w:rsidR="00764484" w:rsidRPr="00A44D68">
      <w:rPr>
        <w:i/>
        <w:sz w:val="20"/>
      </w:rPr>
      <w:t xml:space="preserve">2014 </w:t>
    </w:r>
    <w:r w:rsidR="00764484" w:rsidRPr="00A44D68">
      <w:rPr>
        <w:i/>
        <w:sz w:val="20"/>
      </w:rPr>
      <w:tab/>
    </w:r>
    <w:r w:rsidR="00764484" w:rsidRPr="00A44D68">
      <w:rPr>
        <w:i/>
        <w:sz w:val="20"/>
      </w:rPr>
      <w:tab/>
    </w:r>
    <w:r w:rsidR="00BF1D19" w:rsidRPr="00A44D68">
      <w:rPr>
        <w:i/>
        <w:sz w:val="20"/>
      </w:rPr>
      <w:fldChar w:fldCharType="begin"/>
    </w:r>
    <w:r w:rsidR="00764484" w:rsidRPr="00A44D68">
      <w:rPr>
        <w:i/>
        <w:sz w:val="20"/>
      </w:rPr>
      <w:instrText xml:space="preserve"> PAGE   \* MERGEFORMAT </w:instrText>
    </w:r>
    <w:r w:rsidR="00BF1D19" w:rsidRPr="00A44D68">
      <w:rPr>
        <w:i/>
        <w:sz w:val="20"/>
      </w:rPr>
      <w:fldChar w:fldCharType="separate"/>
    </w:r>
    <w:r w:rsidR="008B4321">
      <w:rPr>
        <w:i/>
        <w:noProof/>
        <w:sz w:val="20"/>
      </w:rPr>
      <w:t>1</w:t>
    </w:r>
    <w:r w:rsidR="00BF1D19" w:rsidRPr="00A44D68">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B9" w:rsidRDefault="007F06B9">
      <w:r>
        <w:separator/>
      </w:r>
    </w:p>
  </w:footnote>
  <w:footnote w:type="continuationSeparator" w:id="0">
    <w:p w:rsidR="007F06B9" w:rsidRDefault="007F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84" w:rsidRPr="0014450D" w:rsidRDefault="00764484" w:rsidP="00144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84" w:rsidRPr="000000B9" w:rsidRDefault="00764484" w:rsidP="00DF0AD9">
    <w:pPr>
      <w:pStyle w:val="Header"/>
      <w:tabs>
        <w:tab w:val="right" w:pos="9072"/>
      </w:tabs>
      <w:rPr>
        <w:b/>
      </w:rPr>
    </w:pPr>
    <w:r>
      <w:rPr>
        <w:b/>
      </w:rPr>
      <w:tab/>
    </w:r>
    <w:r w:rsidRPr="000000B9">
      <w:rPr>
        <w:b/>
      </w:rPr>
      <w:t>APPENDIX</w:t>
    </w:r>
    <w:r>
      <w:rPr>
        <w:b/>
      </w:rPr>
      <w:t xml:space="preserve"> </w:t>
    </w:r>
    <w:r w:rsidR="0014450D">
      <w:rPr>
        <w:b/>
      </w:rPr>
      <w:t>A</w:t>
    </w:r>
  </w:p>
  <w:p w:rsidR="00764484" w:rsidRDefault="00764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84" w:rsidRPr="000000B9" w:rsidRDefault="00764484" w:rsidP="000000B9">
    <w:pPr>
      <w:pStyle w:val="Header"/>
      <w:jc w:val="right"/>
      <w:rPr>
        <w:b/>
      </w:rPr>
    </w:pPr>
    <w:r w:rsidRPr="000000B9">
      <w:rPr>
        <w:b/>
      </w:rPr>
      <w:t xml:space="preserve">APPENDIX </w:t>
    </w:r>
    <w:r w:rsidR="0014450D">
      <w:rPr>
        <w:b/>
      </w:rPr>
      <w: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84" w:rsidRPr="000000B9" w:rsidRDefault="00764484" w:rsidP="00764484">
    <w:pPr>
      <w:pStyle w:val="Header"/>
      <w:tabs>
        <w:tab w:val="right" w:pos="14034"/>
      </w:tabs>
      <w:rPr>
        <w:b/>
      </w:rPr>
    </w:pPr>
    <w:r>
      <w:rPr>
        <w:b/>
      </w:rPr>
      <w:tab/>
    </w:r>
    <w:r w:rsidRPr="000000B9">
      <w:rPr>
        <w:b/>
      </w:rPr>
      <w:t>APPENDIX</w:t>
    </w:r>
    <w:r>
      <w:rPr>
        <w:b/>
      </w:rPr>
      <w:t xml:space="preserve"> </w:t>
    </w:r>
    <w:r w:rsidR="009A17E5">
      <w:rPr>
        <w:b/>
      </w:rPr>
      <w:t>B</w:t>
    </w:r>
  </w:p>
  <w:p w:rsidR="00764484" w:rsidRDefault="007644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84" w:rsidRPr="000000B9" w:rsidRDefault="00764484" w:rsidP="000000B9">
    <w:pPr>
      <w:pStyle w:val="Header"/>
      <w:jc w:val="right"/>
      <w:rPr>
        <w:b/>
      </w:rPr>
    </w:pPr>
    <w:r w:rsidRPr="000000B9">
      <w:rPr>
        <w:b/>
      </w:rPr>
      <w:t xml:space="preserve">APPENDIX </w:t>
    </w:r>
    <w:r w:rsidR="0014450D">
      <w:rPr>
        <w:b/>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884"/>
    <w:multiLevelType w:val="hybridMultilevel"/>
    <w:tmpl w:val="EBD862B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6171D"/>
    <w:multiLevelType w:val="hybridMultilevel"/>
    <w:tmpl w:val="ACA8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86051"/>
    <w:multiLevelType w:val="multilevel"/>
    <w:tmpl w:val="0FE2CEAE"/>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5D534CD"/>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8215143"/>
    <w:multiLevelType w:val="hybridMultilevel"/>
    <w:tmpl w:val="A7E44B80"/>
    <w:lvl w:ilvl="0" w:tplc="0809000B">
      <w:start w:val="1"/>
      <w:numFmt w:val="bullet"/>
      <w:lvlText w:val=""/>
      <w:lvlJc w:val="left"/>
      <w:pPr>
        <w:ind w:left="855" w:hanging="360"/>
      </w:pPr>
      <w:rPr>
        <w:rFonts w:ascii="Wingdings" w:hAnsi="Wingdings" w:hint="default"/>
      </w:rPr>
    </w:lvl>
    <w:lvl w:ilvl="1" w:tplc="0809000B">
      <w:start w:val="1"/>
      <w:numFmt w:val="bullet"/>
      <w:lvlText w:val=""/>
      <w:lvlJc w:val="left"/>
      <w:pPr>
        <w:ind w:left="1575" w:hanging="360"/>
      </w:pPr>
      <w:rPr>
        <w:rFonts w:ascii="Wingdings" w:hAnsi="Wingdings"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Courier New" w:hint="default"/>
      </w:rPr>
    </w:lvl>
    <w:lvl w:ilvl="8" w:tplc="08090005">
      <w:start w:val="1"/>
      <w:numFmt w:val="bullet"/>
      <w:lvlText w:val=""/>
      <w:lvlJc w:val="left"/>
      <w:pPr>
        <w:ind w:left="6615" w:hanging="360"/>
      </w:pPr>
      <w:rPr>
        <w:rFonts w:ascii="Wingdings" w:hAnsi="Wingdings" w:hint="default"/>
      </w:rPr>
    </w:lvl>
  </w:abstractNum>
  <w:abstractNum w:abstractNumId="5">
    <w:nsid w:val="1F675914"/>
    <w:multiLevelType w:val="multilevel"/>
    <w:tmpl w:val="348E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E387F"/>
    <w:multiLevelType w:val="hybridMultilevel"/>
    <w:tmpl w:val="3ED4D422"/>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571B0C"/>
    <w:multiLevelType w:val="hybridMultilevel"/>
    <w:tmpl w:val="93B0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44432"/>
    <w:multiLevelType w:val="hybridMultilevel"/>
    <w:tmpl w:val="019A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9586D"/>
    <w:multiLevelType w:val="multilevel"/>
    <w:tmpl w:val="08B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9481B"/>
    <w:multiLevelType w:val="hybridMultilevel"/>
    <w:tmpl w:val="EB4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A187B"/>
    <w:multiLevelType w:val="hybridMultilevel"/>
    <w:tmpl w:val="375AC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0946CCD"/>
    <w:multiLevelType w:val="hybridMultilevel"/>
    <w:tmpl w:val="723A90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49D267D"/>
    <w:multiLevelType w:val="hybridMultilevel"/>
    <w:tmpl w:val="3570842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8612FA"/>
    <w:multiLevelType w:val="hybridMultilevel"/>
    <w:tmpl w:val="884C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278B6"/>
    <w:multiLevelType w:val="hybridMultilevel"/>
    <w:tmpl w:val="8276714E"/>
    <w:lvl w:ilvl="0" w:tplc="CE2025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7810FDC"/>
    <w:multiLevelType w:val="hybridMultilevel"/>
    <w:tmpl w:val="D0C2274A"/>
    <w:lvl w:ilvl="0" w:tplc="C9F07F4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389F5DB0"/>
    <w:multiLevelType w:val="hybridMultilevel"/>
    <w:tmpl w:val="CD62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9C3FDE"/>
    <w:multiLevelType w:val="hybridMultilevel"/>
    <w:tmpl w:val="C5CC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CC7454"/>
    <w:multiLevelType w:val="hybridMultilevel"/>
    <w:tmpl w:val="2C20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903770"/>
    <w:multiLevelType w:val="multilevel"/>
    <w:tmpl w:val="248C57F6"/>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C580C17"/>
    <w:multiLevelType w:val="multilevel"/>
    <w:tmpl w:val="166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A00344"/>
    <w:multiLevelType w:val="hybridMultilevel"/>
    <w:tmpl w:val="51F6D918"/>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Courier New" w:hint="default"/>
      </w:rPr>
    </w:lvl>
    <w:lvl w:ilvl="8" w:tplc="08090005">
      <w:start w:val="1"/>
      <w:numFmt w:val="bullet"/>
      <w:lvlText w:val=""/>
      <w:lvlJc w:val="left"/>
      <w:pPr>
        <w:ind w:left="6615" w:hanging="360"/>
      </w:pPr>
      <w:rPr>
        <w:rFonts w:ascii="Wingdings" w:hAnsi="Wingdings" w:hint="default"/>
      </w:rPr>
    </w:lvl>
  </w:abstractNum>
  <w:abstractNum w:abstractNumId="23">
    <w:nsid w:val="550A1C9F"/>
    <w:multiLevelType w:val="hybridMultilevel"/>
    <w:tmpl w:val="4DE0D8B2"/>
    <w:lvl w:ilvl="0" w:tplc="FCEC9AE8">
      <w:start w:val="1"/>
      <w:numFmt w:val="lowerRoman"/>
      <w:lvlText w:val="(%1)"/>
      <w:lvlJc w:val="left"/>
      <w:pPr>
        <w:ind w:left="1456" w:hanging="720"/>
      </w:pPr>
      <w:rPr>
        <w:rFonts w:cs="Times New Roman" w:hint="default"/>
      </w:rPr>
    </w:lvl>
    <w:lvl w:ilvl="1" w:tplc="08090019" w:tentative="1">
      <w:start w:val="1"/>
      <w:numFmt w:val="lowerLetter"/>
      <w:lvlText w:val="%2."/>
      <w:lvlJc w:val="left"/>
      <w:pPr>
        <w:ind w:left="1816" w:hanging="360"/>
      </w:pPr>
    </w:lvl>
    <w:lvl w:ilvl="2" w:tplc="0809001B" w:tentative="1">
      <w:start w:val="1"/>
      <w:numFmt w:val="lowerRoman"/>
      <w:lvlText w:val="%3."/>
      <w:lvlJc w:val="right"/>
      <w:pPr>
        <w:ind w:left="2536" w:hanging="180"/>
      </w:pPr>
    </w:lvl>
    <w:lvl w:ilvl="3" w:tplc="0809000F" w:tentative="1">
      <w:start w:val="1"/>
      <w:numFmt w:val="decimal"/>
      <w:lvlText w:val="%4."/>
      <w:lvlJc w:val="left"/>
      <w:pPr>
        <w:ind w:left="3256" w:hanging="360"/>
      </w:pPr>
    </w:lvl>
    <w:lvl w:ilvl="4" w:tplc="08090019" w:tentative="1">
      <w:start w:val="1"/>
      <w:numFmt w:val="lowerLetter"/>
      <w:lvlText w:val="%5."/>
      <w:lvlJc w:val="left"/>
      <w:pPr>
        <w:ind w:left="3976" w:hanging="360"/>
      </w:pPr>
    </w:lvl>
    <w:lvl w:ilvl="5" w:tplc="0809001B" w:tentative="1">
      <w:start w:val="1"/>
      <w:numFmt w:val="lowerRoman"/>
      <w:lvlText w:val="%6."/>
      <w:lvlJc w:val="right"/>
      <w:pPr>
        <w:ind w:left="4696" w:hanging="180"/>
      </w:pPr>
    </w:lvl>
    <w:lvl w:ilvl="6" w:tplc="0809000F" w:tentative="1">
      <w:start w:val="1"/>
      <w:numFmt w:val="decimal"/>
      <w:lvlText w:val="%7."/>
      <w:lvlJc w:val="left"/>
      <w:pPr>
        <w:ind w:left="5416" w:hanging="360"/>
      </w:pPr>
    </w:lvl>
    <w:lvl w:ilvl="7" w:tplc="08090019" w:tentative="1">
      <w:start w:val="1"/>
      <w:numFmt w:val="lowerLetter"/>
      <w:lvlText w:val="%8."/>
      <w:lvlJc w:val="left"/>
      <w:pPr>
        <w:ind w:left="6136" w:hanging="360"/>
      </w:pPr>
    </w:lvl>
    <w:lvl w:ilvl="8" w:tplc="0809001B" w:tentative="1">
      <w:start w:val="1"/>
      <w:numFmt w:val="lowerRoman"/>
      <w:lvlText w:val="%9."/>
      <w:lvlJc w:val="right"/>
      <w:pPr>
        <w:ind w:left="6856" w:hanging="180"/>
      </w:pPr>
    </w:lvl>
  </w:abstractNum>
  <w:abstractNum w:abstractNumId="24">
    <w:nsid w:val="56180EE1"/>
    <w:multiLevelType w:val="multilevel"/>
    <w:tmpl w:val="EC7E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BE3E8D"/>
    <w:multiLevelType w:val="hybridMultilevel"/>
    <w:tmpl w:val="B840FC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6">
    <w:nsid w:val="5DD925BE"/>
    <w:multiLevelType w:val="multilevel"/>
    <w:tmpl w:val="2D00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17165A"/>
    <w:multiLevelType w:val="hybridMultilevel"/>
    <w:tmpl w:val="A608F0A8"/>
    <w:lvl w:ilvl="0" w:tplc="08090001">
      <w:start w:val="1"/>
      <w:numFmt w:val="bullet"/>
      <w:lvlText w:val=""/>
      <w:lvlJc w:val="left"/>
      <w:pPr>
        <w:ind w:left="720" w:hanging="360"/>
      </w:pPr>
      <w:rPr>
        <w:rFonts w:ascii="Symbol" w:hAnsi="Symbol" w:hint="default"/>
        <w:color w:val="57A1B6"/>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440564"/>
    <w:multiLevelType w:val="hybridMultilevel"/>
    <w:tmpl w:val="FEC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DB0660"/>
    <w:multiLevelType w:val="hybridMultilevel"/>
    <w:tmpl w:val="72B0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F70FCE"/>
    <w:multiLevelType w:val="hybridMultilevel"/>
    <w:tmpl w:val="3ED4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5E04E4"/>
    <w:multiLevelType w:val="hybridMultilevel"/>
    <w:tmpl w:val="082E47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7"/>
  </w:num>
  <w:num w:numId="3">
    <w:abstractNumId w:val="1"/>
  </w:num>
  <w:num w:numId="4">
    <w:abstractNumId w:val="27"/>
  </w:num>
  <w:num w:numId="5">
    <w:abstractNumId w:val="28"/>
  </w:num>
  <w:num w:numId="6">
    <w:abstractNumId w:val="14"/>
  </w:num>
  <w:num w:numId="7">
    <w:abstractNumId w:val="10"/>
  </w:num>
  <w:num w:numId="8">
    <w:abstractNumId w:val="29"/>
  </w:num>
  <w:num w:numId="9">
    <w:abstractNumId w:val="0"/>
  </w:num>
  <w:num w:numId="10">
    <w:abstractNumId w:val="13"/>
  </w:num>
  <w:num w:numId="11">
    <w:abstractNumId w:val="4"/>
  </w:num>
  <w:num w:numId="12">
    <w:abstractNumId w:val="30"/>
  </w:num>
  <w:num w:numId="13">
    <w:abstractNumId w:val="31"/>
  </w:num>
  <w:num w:numId="14">
    <w:abstractNumId w:val="15"/>
  </w:num>
  <w:num w:numId="15">
    <w:abstractNumId w:val="16"/>
  </w:num>
  <w:num w:numId="16">
    <w:abstractNumId w:val="23"/>
  </w:num>
  <w:num w:numId="17">
    <w:abstractNumId w:val="12"/>
  </w:num>
  <w:num w:numId="18">
    <w:abstractNumId w:val="2"/>
  </w:num>
  <w:num w:numId="19">
    <w:abstractNumId w:val="3"/>
  </w:num>
  <w:num w:numId="20">
    <w:abstractNumId w:val="25"/>
  </w:num>
  <w:num w:numId="21">
    <w:abstractNumId w:val="22"/>
  </w:num>
  <w:num w:numId="22">
    <w:abstractNumId w:val="11"/>
  </w:num>
  <w:num w:numId="23">
    <w:abstractNumId w:val="20"/>
  </w:num>
  <w:num w:numId="24">
    <w:abstractNumId w:val="6"/>
  </w:num>
  <w:num w:numId="25">
    <w:abstractNumId w:val="5"/>
  </w:num>
  <w:num w:numId="26">
    <w:abstractNumId w:val="9"/>
  </w:num>
  <w:num w:numId="27">
    <w:abstractNumId w:val="26"/>
  </w:num>
  <w:num w:numId="28">
    <w:abstractNumId w:val="21"/>
  </w:num>
  <w:num w:numId="29">
    <w:abstractNumId w:val="24"/>
  </w:num>
  <w:num w:numId="30">
    <w:abstractNumId w:val="18"/>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00B9"/>
    <w:rsid w:val="00034597"/>
    <w:rsid w:val="00055AAE"/>
    <w:rsid w:val="0007669B"/>
    <w:rsid w:val="00077261"/>
    <w:rsid w:val="0009646E"/>
    <w:rsid w:val="000A10D9"/>
    <w:rsid w:val="000A5208"/>
    <w:rsid w:val="000C44CA"/>
    <w:rsid w:val="000D3C69"/>
    <w:rsid w:val="000F388D"/>
    <w:rsid w:val="00103B9D"/>
    <w:rsid w:val="00116362"/>
    <w:rsid w:val="00117AED"/>
    <w:rsid w:val="0014450D"/>
    <w:rsid w:val="00160A85"/>
    <w:rsid w:val="00165CD4"/>
    <w:rsid w:val="0018220A"/>
    <w:rsid w:val="001D27E5"/>
    <w:rsid w:val="001E43FE"/>
    <w:rsid w:val="001E72A4"/>
    <w:rsid w:val="002055B4"/>
    <w:rsid w:val="00234E42"/>
    <w:rsid w:val="00246539"/>
    <w:rsid w:val="00267F89"/>
    <w:rsid w:val="0028461B"/>
    <w:rsid w:val="002A7054"/>
    <w:rsid w:val="002B11AF"/>
    <w:rsid w:val="002B1FCA"/>
    <w:rsid w:val="002D0364"/>
    <w:rsid w:val="002E5431"/>
    <w:rsid w:val="0031349B"/>
    <w:rsid w:val="00354003"/>
    <w:rsid w:val="00354CAC"/>
    <w:rsid w:val="00357954"/>
    <w:rsid w:val="003967DB"/>
    <w:rsid w:val="003A7174"/>
    <w:rsid w:val="003C3253"/>
    <w:rsid w:val="003D0CA0"/>
    <w:rsid w:val="003E6A45"/>
    <w:rsid w:val="00400CF1"/>
    <w:rsid w:val="0044710C"/>
    <w:rsid w:val="00470BAC"/>
    <w:rsid w:val="004930D3"/>
    <w:rsid w:val="004B1005"/>
    <w:rsid w:val="004D223E"/>
    <w:rsid w:val="004D428F"/>
    <w:rsid w:val="005116AD"/>
    <w:rsid w:val="0054093D"/>
    <w:rsid w:val="00544309"/>
    <w:rsid w:val="00581BB4"/>
    <w:rsid w:val="00586D9B"/>
    <w:rsid w:val="005944BF"/>
    <w:rsid w:val="005A1F6C"/>
    <w:rsid w:val="005B0618"/>
    <w:rsid w:val="005C26CC"/>
    <w:rsid w:val="005E77F9"/>
    <w:rsid w:val="00615BC4"/>
    <w:rsid w:val="00621B00"/>
    <w:rsid w:val="0062627A"/>
    <w:rsid w:val="00627EC2"/>
    <w:rsid w:val="006431EF"/>
    <w:rsid w:val="006650BC"/>
    <w:rsid w:val="00666442"/>
    <w:rsid w:val="006A302E"/>
    <w:rsid w:val="006A4DFB"/>
    <w:rsid w:val="00745A0F"/>
    <w:rsid w:val="007468C1"/>
    <w:rsid w:val="00751D4A"/>
    <w:rsid w:val="00764484"/>
    <w:rsid w:val="00765340"/>
    <w:rsid w:val="0076763B"/>
    <w:rsid w:val="00772BBA"/>
    <w:rsid w:val="00780F5A"/>
    <w:rsid w:val="00784C2F"/>
    <w:rsid w:val="00785FDC"/>
    <w:rsid w:val="00787568"/>
    <w:rsid w:val="007905C9"/>
    <w:rsid w:val="007C118F"/>
    <w:rsid w:val="007D29D1"/>
    <w:rsid w:val="007E7A9F"/>
    <w:rsid w:val="007F06B9"/>
    <w:rsid w:val="00851EBB"/>
    <w:rsid w:val="008647FE"/>
    <w:rsid w:val="008864EE"/>
    <w:rsid w:val="00895B11"/>
    <w:rsid w:val="008A5E88"/>
    <w:rsid w:val="008B4321"/>
    <w:rsid w:val="008D43D1"/>
    <w:rsid w:val="00907100"/>
    <w:rsid w:val="009646AB"/>
    <w:rsid w:val="00984723"/>
    <w:rsid w:val="00993C36"/>
    <w:rsid w:val="009A17E5"/>
    <w:rsid w:val="009A3E0D"/>
    <w:rsid w:val="009B3418"/>
    <w:rsid w:val="009B61F1"/>
    <w:rsid w:val="009D577C"/>
    <w:rsid w:val="00A07828"/>
    <w:rsid w:val="00A44D68"/>
    <w:rsid w:val="00A51BF8"/>
    <w:rsid w:val="00A86EB0"/>
    <w:rsid w:val="00AB2D5F"/>
    <w:rsid w:val="00AB4D50"/>
    <w:rsid w:val="00B329D4"/>
    <w:rsid w:val="00B37E79"/>
    <w:rsid w:val="00B56D83"/>
    <w:rsid w:val="00B61452"/>
    <w:rsid w:val="00B64062"/>
    <w:rsid w:val="00B656CD"/>
    <w:rsid w:val="00B67789"/>
    <w:rsid w:val="00B7598F"/>
    <w:rsid w:val="00B92528"/>
    <w:rsid w:val="00BB08CC"/>
    <w:rsid w:val="00BE380F"/>
    <w:rsid w:val="00BF1D19"/>
    <w:rsid w:val="00C1219F"/>
    <w:rsid w:val="00C20DC0"/>
    <w:rsid w:val="00C266C9"/>
    <w:rsid w:val="00C4528A"/>
    <w:rsid w:val="00C62AC3"/>
    <w:rsid w:val="00C97557"/>
    <w:rsid w:val="00CA1991"/>
    <w:rsid w:val="00CA5834"/>
    <w:rsid w:val="00CB6343"/>
    <w:rsid w:val="00CD5239"/>
    <w:rsid w:val="00CF4B31"/>
    <w:rsid w:val="00D16882"/>
    <w:rsid w:val="00D47575"/>
    <w:rsid w:val="00D71415"/>
    <w:rsid w:val="00D862D8"/>
    <w:rsid w:val="00DC549D"/>
    <w:rsid w:val="00DF0AD9"/>
    <w:rsid w:val="00DF21E4"/>
    <w:rsid w:val="00E103A3"/>
    <w:rsid w:val="00E31095"/>
    <w:rsid w:val="00E408C2"/>
    <w:rsid w:val="00E43B3E"/>
    <w:rsid w:val="00EA45E5"/>
    <w:rsid w:val="00EB30FA"/>
    <w:rsid w:val="00EB740F"/>
    <w:rsid w:val="00ED0CA6"/>
    <w:rsid w:val="00F01C8C"/>
    <w:rsid w:val="00F5282C"/>
    <w:rsid w:val="00F65F62"/>
    <w:rsid w:val="00F675EF"/>
    <w:rsid w:val="00F80E7A"/>
    <w:rsid w:val="00F95528"/>
    <w:rsid w:val="00FA71C6"/>
    <w:rsid w:val="00FB0CB8"/>
    <w:rsid w:val="00FB20CA"/>
    <w:rsid w:val="00FC20DE"/>
    <w:rsid w:val="00FE20D8"/>
    <w:rsid w:val="00FF636F"/>
    <w:rsid w:val="00FF6961"/>
    <w:rsid w:val="00FF6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2DD886C-3B4E-4930-8ECE-CB289FD3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7C"/>
    <w:rPr>
      <w:rFonts w:ascii="Arial" w:hAnsi="Arial"/>
      <w:sz w:val="24"/>
    </w:rPr>
  </w:style>
  <w:style w:type="paragraph" w:styleId="Heading1">
    <w:name w:val="heading 1"/>
    <w:basedOn w:val="Normal"/>
    <w:next w:val="Normal"/>
    <w:qFormat/>
    <w:rsid w:val="009D577C"/>
    <w:pPr>
      <w:keepNext/>
      <w:outlineLvl w:val="0"/>
    </w:pPr>
    <w:rPr>
      <w:b/>
    </w:rPr>
  </w:style>
  <w:style w:type="paragraph" w:styleId="Heading3">
    <w:name w:val="heading 3"/>
    <w:basedOn w:val="Normal"/>
    <w:next w:val="Normal"/>
    <w:link w:val="Heading3Char"/>
    <w:uiPriority w:val="9"/>
    <w:semiHidden/>
    <w:unhideWhenUsed/>
    <w:qFormat/>
    <w:rsid w:val="00165CD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C4528A"/>
    <w:pPr>
      <w:keepNext/>
      <w:spacing w:before="240" w:after="60"/>
      <w:outlineLvl w:val="3"/>
    </w:pPr>
    <w:rPr>
      <w:rFonts w:ascii="Calibri" w:hAnsi="Calibri"/>
      <w:b/>
      <w:bCs/>
      <w:sz w:val="28"/>
      <w:szCs w:val="28"/>
    </w:rPr>
  </w:style>
  <w:style w:type="paragraph" w:styleId="Heading5">
    <w:name w:val="heading 5"/>
    <w:basedOn w:val="Normal"/>
    <w:next w:val="Normal"/>
    <w:qFormat/>
    <w:rsid w:val="009D577C"/>
    <w:pPr>
      <w:keepNext/>
      <w:outlineLvl w:val="4"/>
    </w:pPr>
    <w:rPr>
      <w:rFonts w:ascii="Univers" w:hAnsi="Univers"/>
      <w:b/>
      <w:u w:val="single"/>
    </w:rPr>
  </w:style>
  <w:style w:type="paragraph" w:styleId="Heading6">
    <w:name w:val="heading 6"/>
    <w:basedOn w:val="Normal"/>
    <w:next w:val="Normal"/>
    <w:qFormat/>
    <w:rsid w:val="009D577C"/>
    <w:pPr>
      <w:keepNext/>
      <w:outlineLvl w:val="5"/>
    </w:pPr>
    <w:rPr>
      <w:rFonts w:ascii="Univers" w:hAnsi="Univers"/>
      <w:b/>
    </w:rPr>
  </w:style>
  <w:style w:type="paragraph" w:styleId="Heading7">
    <w:name w:val="heading 7"/>
    <w:basedOn w:val="Normal"/>
    <w:next w:val="Normal"/>
    <w:qFormat/>
    <w:rsid w:val="009D577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77C"/>
  </w:style>
  <w:style w:type="paragraph" w:customStyle="1" w:styleId="arial11">
    <w:name w:val="arial11"/>
    <w:basedOn w:val="Normal"/>
    <w:rsid w:val="009D577C"/>
  </w:style>
  <w:style w:type="paragraph" w:styleId="BodyText">
    <w:name w:val="Body Text"/>
    <w:basedOn w:val="Normal"/>
    <w:rsid w:val="009D577C"/>
  </w:style>
  <w:style w:type="paragraph" w:styleId="Footer">
    <w:name w:val="footer"/>
    <w:basedOn w:val="Normal"/>
    <w:rsid w:val="009D577C"/>
    <w:pPr>
      <w:tabs>
        <w:tab w:val="center" w:pos="4153"/>
        <w:tab w:val="right" w:pos="8306"/>
      </w:tabs>
    </w:pPr>
  </w:style>
  <w:style w:type="character" w:styleId="PageNumber">
    <w:name w:val="page number"/>
    <w:basedOn w:val="DefaultParagraphFont"/>
    <w:rsid w:val="009D577C"/>
  </w:style>
  <w:style w:type="paragraph" w:styleId="BalloonText">
    <w:name w:val="Balloon Text"/>
    <w:basedOn w:val="Normal"/>
    <w:semiHidden/>
    <w:rsid w:val="00357954"/>
    <w:rPr>
      <w:rFonts w:ascii="Tahoma" w:hAnsi="Tahoma" w:cs="Tahoma"/>
      <w:sz w:val="16"/>
      <w:szCs w:val="16"/>
    </w:rPr>
  </w:style>
  <w:style w:type="character" w:customStyle="1" w:styleId="Heading4Char">
    <w:name w:val="Heading 4 Char"/>
    <w:basedOn w:val="DefaultParagraphFont"/>
    <w:link w:val="Heading4"/>
    <w:uiPriority w:val="9"/>
    <w:semiHidden/>
    <w:rsid w:val="00C4528A"/>
    <w:rPr>
      <w:rFonts w:ascii="Calibri" w:eastAsia="Times New Roman" w:hAnsi="Calibri" w:cs="Times New Roman"/>
      <w:b/>
      <w:bCs/>
      <w:sz w:val="28"/>
      <w:szCs w:val="28"/>
    </w:rPr>
  </w:style>
  <w:style w:type="table" w:styleId="TableGrid">
    <w:name w:val="Table Grid"/>
    <w:basedOn w:val="TableNormal"/>
    <w:uiPriority w:val="59"/>
    <w:rsid w:val="00540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F62"/>
    <w:pPr>
      <w:ind w:left="720"/>
      <w:contextualSpacing/>
      <w:jc w:val="both"/>
    </w:pPr>
    <w:rPr>
      <w:szCs w:val="24"/>
    </w:rPr>
  </w:style>
  <w:style w:type="paragraph" w:customStyle="1" w:styleId="Default">
    <w:name w:val="Default"/>
    <w:rsid w:val="00DF0AD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F4B31"/>
    <w:rPr>
      <w:sz w:val="16"/>
      <w:szCs w:val="16"/>
    </w:rPr>
  </w:style>
  <w:style w:type="paragraph" w:styleId="CommentText">
    <w:name w:val="annotation text"/>
    <w:basedOn w:val="Normal"/>
    <w:link w:val="CommentTextChar"/>
    <w:uiPriority w:val="99"/>
    <w:semiHidden/>
    <w:unhideWhenUsed/>
    <w:rsid w:val="00CF4B31"/>
    <w:rPr>
      <w:sz w:val="20"/>
    </w:rPr>
  </w:style>
  <w:style w:type="character" w:customStyle="1" w:styleId="CommentTextChar">
    <w:name w:val="Comment Text Char"/>
    <w:basedOn w:val="DefaultParagraphFont"/>
    <w:link w:val="CommentText"/>
    <w:uiPriority w:val="99"/>
    <w:semiHidden/>
    <w:rsid w:val="00CF4B31"/>
    <w:rPr>
      <w:rFonts w:ascii="Arial" w:hAnsi="Arial"/>
    </w:rPr>
  </w:style>
  <w:style w:type="paragraph" w:styleId="CommentSubject">
    <w:name w:val="annotation subject"/>
    <w:basedOn w:val="CommentText"/>
    <w:next w:val="CommentText"/>
    <w:link w:val="CommentSubjectChar"/>
    <w:uiPriority w:val="99"/>
    <w:semiHidden/>
    <w:unhideWhenUsed/>
    <w:rsid w:val="00CF4B31"/>
    <w:rPr>
      <w:b/>
      <w:bCs/>
    </w:rPr>
  </w:style>
  <w:style w:type="character" w:customStyle="1" w:styleId="CommentSubjectChar">
    <w:name w:val="Comment Subject Char"/>
    <w:basedOn w:val="CommentTextChar"/>
    <w:link w:val="CommentSubject"/>
    <w:uiPriority w:val="99"/>
    <w:semiHidden/>
    <w:rsid w:val="00CF4B31"/>
    <w:rPr>
      <w:rFonts w:ascii="Arial" w:hAnsi="Arial"/>
      <w:b/>
      <w:bCs/>
    </w:rPr>
  </w:style>
  <w:style w:type="character" w:customStyle="1" w:styleId="Heading3Char">
    <w:name w:val="Heading 3 Char"/>
    <w:basedOn w:val="DefaultParagraphFont"/>
    <w:link w:val="Heading3"/>
    <w:uiPriority w:val="9"/>
    <w:semiHidden/>
    <w:rsid w:val="00165CD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26425">
      <w:bodyDiv w:val="1"/>
      <w:marLeft w:val="0"/>
      <w:marRight w:val="0"/>
      <w:marTop w:val="0"/>
      <w:marBottom w:val="0"/>
      <w:divBdr>
        <w:top w:val="none" w:sz="0" w:space="0" w:color="auto"/>
        <w:left w:val="none" w:sz="0" w:space="0" w:color="auto"/>
        <w:bottom w:val="none" w:sz="0" w:space="0" w:color="auto"/>
        <w:right w:val="none" w:sz="0" w:space="0" w:color="auto"/>
      </w:divBdr>
      <w:divsChild>
        <w:div w:id="1138766511">
          <w:marLeft w:val="0"/>
          <w:marRight w:val="0"/>
          <w:marTop w:val="0"/>
          <w:marBottom w:val="0"/>
          <w:divBdr>
            <w:top w:val="none" w:sz="0" w:space="0" w:color="auto"/>
            <w:left w:val="none" w:sz="0" w:space="0" w:color="auto"/>
            <w:bottom w:val="none" w:sz="0" w:space="0" w:color="auto"/>
            <w:right w:val="none" w:sz="0" w:space="0" w:color="auto"/>
          </w:divBdr>
          <w:divsChild>
            <w:div w:id="1013383930">
              <w:marLeft w:val="0"/>
              <w:marRight w:val="0"/>
              <w:marTop w:val="0"/>
              <w:marBottom w:val="0"/>
              <w:divBdr>
                <w:top w:val="none" w:sz="0" w:space="0" w:color="auto"/>
                <w:left w:val="none" w:sz="0" w:space="0" w:color="auto"/>
                <w:bottom w:val="none" w:sz="0" w:space="0" w:color="auto"/>
                <w:right w:val="none" w:sz="0" w:space="0" w:color="auto"/>
              </w:divBdr>
              <w:divsChild>
                <w:div w:id="480922240">
                  <w:marLeft w:val="0"/>
                  <w:marRight w:val="0"/>
                  <w:marTop w:val="0"/>
                  <w:marBottom w:val="0"/>
                  <w:divBdr>
                    <w:top w:val="none" w:sz="0" w:space="0" w:color="auto"/>
                    <w:left w:val="none" w:sz="0" w:space="0" w:color="auto"/>
                    <w:bottom w:val="none" w:sz="0" w:space="0" w:color="auto"/>
                    <w:right w:val="none" w:sz="0" w:space="0" w:color="auto"/>
                  </w:divBdr>
                  <w:divsChild>
                    <w:div w:id="1676877233">
                      <w:marLeft w:val="0"/>
                      <w:marRight w:val="0"/>
                      <w:marTop w:val="0"/>
                      <w:marBottom w:val="0"/>
                      <w:divBdr>
                        <w:top w:val="none" w:sz="0" w:space="0" w:color="auto"/>
                        <w:left w:val="none" w:sz="0" w:space="0" w:color="auto"/>
                        <w:bottom w:val="none" w:sz="0" w:space="0" w:color="auto"/>
                        <w:right w:val="none" w:sz="0" w:space="0" w:color="auto"/>
                      </w:divBdr>
                      <w:divsChild>
                        <w:div w:id="731469856">
                          <w:marLeft w:val="0"/>
                          <w:marRight w:val="0"/>
                          <w:marTop w:val="0"/>
                          <w:marBottom w:val="0"/>
                          <w:divBdr>
                            <w:top w:val="none" w:sz="0" w:space="0" w:color="auto"/>
                            <w:left w:val="none" w:sz="0" w:space="0" w:color="auto"/>
                            <w:bottom w:val="none" w:sz="0" w:space="0" w:color="auto"/>
                            <w:right w:val="none" w:sz="0" w:space="0" w:color="auto"/>
                          </w:divBdr>
                          <w:divsChild>
                            <w:div w:id="165218429">
                              <w:marLeft w:val="0"/>
                              <w:marRight w:val="0"/>
                              <w:marTop w:val="0"/>
                              <w:marBottom w:val="0"/>
                              <w:divBdr>
                                <w:top w:val="none" w:sz="0" w:space="0" w:color="auto"/>
                                <w:left w:val="none" w:sz="0" w:space="0" w:color="auto"/>
                                <w:bottom w:val="none" w:sz="0" w:space="0" w:color="auto"/>
                                <w:right w:val="none" w:sz="0" w:space="0" w:color="auto"/>
                              </w:divBdr>
                              <w:divsChild>
                                <w:div w:id="528641520">
                                  <w:marLeft w:val="0"/>
                                  <w:marRight w:val="0"/>
                                  <w:marTop w:val="0"/>
                                  <w:marBottom w:val="0"/>
                                  <w:divBdr>
                                    <w:top w:val="none" w:sz="0" w:space="0" w:color="auto"/>
                                    <w:left w:val="none" w:sz="0" w:space="0" w:color="auto"/>
                                    <w:bottom w:val="none" w:sz="0" w:space="0" w:color="auto"/>
                                    <w:right w:val="none" w:sz="0" w:space="0" w:color="auto"/>
                                  </w:divBdr>
                                  <w:divsChild>
                                    <w:div w:id="942764718">
                                      <w:marLeft w:val="0"/>
                                      <w:marRight w:val="0"/>
                                      <w:marTop w:val="0"/>
                                      <w:marBottom w:val="0"/>
                                      <w:divBdr>
                                        <w:top w:val="none" w:sz="0" w:space="0" w:color="auto"/>
                                        <w:left w:val="none" w:sz="0" w:space="0" w:color="auto"/>
                                        <w:bottom w:val="none" w:sz="0" w:space="0" w:color="auto"/>
                                        <w:right w:val="none" w:sz="0" w:space="0" w:color="auto"/>
                                      </w:divBdr>
                                    </w:div>
                                  </w:divsChild>
                                </w:div>
                                <w:div w:id="465657915">
                                  <w:marLeft w:val="0"/>
                                  <w:marRight w:val="0"/>
                                  <w:marTop w:val="0"/>
                                  <w:marBottom w:val="0"/>
                                  <w:divBdr>
                                    <w:top w:val="none" w:sz="0" w:space="0" w:color="auto"/>
                                    <w:left w:val="none" w:sz="0" w:space="0" w:color="auto"/>
                                    <w:bottom w:val="none" w:sz="0" w:space="0" w:color="auto"/>
                                    <w:right w:val="none" w:sz="0" w:space="0" w:color="auto"/>
                                  </w:divBdr>
                                  <w:divsChild>
                                    <w:div w:id="28383591">
                                      <w:marLeft w:val="0"/>
                                      <w:marRight w:val="0"/>
                                      <w:marTop w:val="0"/>
                                      <w:marBottom w:val="0"/>
                                      <w:divBdr>
                                        <w:top w:val="none" w:sz="0" w:space="0" w:color="auto"/>
                                        <w:left w:val="none" w:sz="0" w:space="0" w:color="auto"/>
                                        <w:bottom w:val="none" w:sz="0" w:space="0" w:color="auto"/>
                                        <w:right w:val="none" w:sz="0" w:space="0" w:color="auto"/>
                                      </w:divBdr>
                                    </w:div>
                                  </w:divsChild>
                                </w:div>
                                <w:div w:id="1767263172">
                                  <w:marLeft w:val="0"/>
                                  <w:marRight w:val="0"/>
                                  <w:marTop w:val="0"/>
                                  <w:marBottom w:val="0"/>
                                  <w:divBdr>
                                    <w:top w:val="none" w:sz="0" w:space="0" w:color="auto"/>
                                    <w:left w:val="none" w:sz="0" w:space="0" w:color="auto"/>
                                    <w:bottom w:val="none" w:sz="0" w:space="0" w:color="auto"/>
                                    <w:right w:val="none" w:sz="0" w:space="0" w:color="auto"/>
                                  </w:divBdr>
                                  <w:divsChild>
                                    <w:div w:id="1414738720">
                                      <w:marLeft w:val="0"/>
                                      <w:marRight w:val="0"/>
                                      <w:marTop w:val="0"/>
                                      <w:marBottom w:val="0"/>
                                      <w:divBdr>
                                        <w:top w:val="none" w:sz="0" w:space="0" w:color="auto"/>
                                        <w:left w:val="none" w:sz="0" w:space="0" w:color="auto"/>
                                        <w:bottom w:val="none" w:sz="0" w:space="0" w:color="auto"/>
                                        <w:right w:val="none" w:sz="0" w:space="0" w:color="auto"/>
                                      </w:divBdr>
                                    </w:div>
                                  </w:divsChild>
                                </w:div>
                                <w:div w:id="540677714">
                                  <w:marLeft w:val="0"/>
                                  <w:marRight w:val="0"/>
                                  <w:marTop w:val="0"/>
                                  <w:marBottom w:val="0"/>
                                  <w:divBdr>
                                    <w:top w:val="none" w:sz="0" w:space="0" w:color="auto"/>
                                    <w:left w:val="none" w:sz="0" w:space="0" w:color="auto"/>
                                    <w:bottom w:val="none" w:sz="0" w:space="0" w:color="auto"/>
                                    <w:right w:val="none" w:sz="0" w:space="0" w:color="auto"/>
                                  </w:divBdr>
                                  <w:divsChild>
                                    <w:div w:id="1980530527">
                                      <w:marLeft w:val="0"/>
                                      <w:marRight w:val="0"/>
                                      <w:marTop w:val="0"/>
                                      <w:marBottom w:val="0"/>
                                      <w:divBdr>
                                        <w:top w:val="none" w:sz="0" w:space="0" w:color="auto"/>
                                        <w:left w:val="none" w:sz="0" w:space="0" w:color="auto"/>
                                        <w:bottom w:val="none" w:sz="0" w:space="0" w:color="auto"/>
                                        <w:right w:val="none" w:sz="0" w:space="0" w:color="auto"/>
                                      </w:divBdr>
                                    </w:div>
                                  </w:divsChild>
                                </w:div>
                                <w:div w:id="1569223385">
                                  <w:marLeft w:val="0"/>
                                  <w:marRight w:val="0"/>
                                  <w:marTop w:val="0"/>
                                  <w:marBottom w:val="0"/>
                                  <w:divBdr>
                                    <w:top w:val="none" w:sz="0" w:space="0" w:color="auto"/>
                                    <w:left w:val="none" w:sz="0" w:space="0" w:color="auto"/>
                                    <w:bottom w:val="none" w:sz="0" w:space="0" w:color="auto"/>
                                    <w:right w:val="none" w:sz="0" w:space="0" w:color="auto"/>
                                  </w:divBdr>
                                  <w:divsChild>
                                    <w:div w:id="986128265">
                                      <w:marLeft w:val="0"/>
                                      <w:marRight w:val="0"/>
                                      <w:marTop w:val="0"/>
                                      <w:marBottom w:val="0"/>
                                      <w:divBdr>
                                        <w:top w:val="none" w:sz="0" w:space="0" w:color="auto"/>
                                        <w:left w:val="none" w:sz="0" w:space="0" w:color="auto"/>
                                        <w:bottom w:val="none" w:sz="0" w:space="0" w:color="auto"/>
                                        <w:right w:val="none" w:sz="0" w:space="0" w:color="auto"/>
                                      </w:divBdr>
                                    </w:div>
                                  </w:divsChild>
                                </w:div>
                                <w:div w:id="4120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733C-3F73-4802-AC01-F879FFAA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0</TotalTime>
  <Pages>13</Pages>
  <Words>3850</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25770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Andy Fox</cp:lastModifiedBy>
  <cp:revision>2</cp:revision>
  <cp:lastPrinted>2002-09-23T10:55:00Z</cp:lastPrinted>
  <dcterms:created xsi:type="dcterms:W3CDTF">2014-11-18T12:02:00Z</dcterms:created>
  <dcterms:modified xsi:type="dcterms:W3CDTF">2014-11-18T12:02:00Z</dcterms:modified>
</cp:coreProperties>
</file>